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1717F2CE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1B098F">
              <w:rPr>
                <w:b/>
                <w:color w:val="365F91"/>
                <w:lang w:val="es-ES_tradnl"/>
              </w:rPr>
              <w:t>2</w:t>
            </w:r>
          </w:p>
        </w:tc>
      </w:tr>
      <w:tr w:rsidR="00041727" w:rsidRPr="00633FDB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26728363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D72FF4">
              <w:rPr>
                <w:bCs/>
                <w:color w:val="365F91"/>
              </w:rPr>
              <w:t>Secretario General</w:t>
            </w:r>
          </w:p>
          <w:p w14:paraId="58B64AA7" w14:textId="7B5006F2" w:rsidR="00041727" w:rsidRPr="00633FDB" w:rsidRDefault="001B098F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10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115E698E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337042">
        <w:rPr>
          <w:b/>
        </w:rPr>
        <w:t>2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337042">
        <w:rPr>
          <w:b/>
        </w:rPr>
        <w:t>INFORMES</w:t>
      </w:r>
    </w:p>
    <w:p w14:paraId="207D3BFC" w14:textId="3917B544" w:rsidR="00814CC6" w:rsidRPr="00633FDB" w:rsidRDefault="00337042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>
        <w:rPr>
          <w:lang w:val="es-ES_tradnl"/>
        </w:rPr>
        <w:t>examen de los informes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85612E" w14:paraId="6936F47D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F7301F8" w14:textId="77777777" w:rsidR="00EC7CF5" w:rsidRDefault="00EC7CF5" w:rsidP="00E626B0">
            <w:pPr>
              <w:pStyle w:val="WMOBodyText"/>
              <w:spacing w:after="240"/>
              <w:jc w:val="left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6000098C" w:rsidR="00581CFE" w:rsidRDefault="00581CFE" w:rsidP="00E626B0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337042">
              <w:rPr>
                <w:lang w:val="es-ES"/>
              </w:rPr>
              <w:t xml:space="preserve">el Secretario General, de conformidad con la </w:t>
            </w:r>
            <w:hyperlink r:id="rId12" w:anchor="page=76" w:history="1">
              <w:r w:rsidR="00E626B0" w:rsidRPr="00E626B0">
                <w:rPr>
                  <w:rStyle w:val="Hyperlink"/>
                  <w:lang w:val="es-ES"/>
                </w:rPr>
                <w:t>regla 126 2)</w:t>
              </w:r>
            </w:hyperlink>
            <w:r w:rsidR="00E626B0">
              <w:rPr>
                <w:lang w:val="es-ES"/>
              </w:rPr>
              <w:t xml:space="preserve"> </w:t>
            </w:r>
            <w:r w:rsidR="00E626B0" w:rsidRPr="00E626B0">
              <w:rPr>
                <w:lang w:val="es-ES"/>
              </w:rPr>
              <w:t>del Reglamento General (</w:t>
            </w:r>
            <w:r w:rsidR="00E626B0" w:rsidRPr="00E626B0">
              <w:rPr>
                <w:i/>
                <w:iCs/>
                <w:lang w:val="es-ES"/>
              </w:rPr>
              <w:t xml:space="preserve">Documentos fundamentales </w:t>
            </w:r>
            <w:proofErr w:type="spellStart"/>
            <w:r w:rsidR="00E626B0" w:rsidRPr="00E626B0">
              <w:rPr>
                <w:i/>
                <w:iCs/>
                <w:lang w:val="es-ES"/>
              </w:rPr>
              <w:t>Nº</w:t>
            </w:r>
            <w:proofErr w:type="spellEnd"/>
            <w:r w:rsidR="00E626B0">
              <w:rPr>
                <w:i/>
                <w:iCs/>
                <w:lang w:val="es-ES"/>
              </w:rPr>
              <w:t> </w:t>
            </w:r>
            <w:r w:rsidR="00E626B0" w:rsidRPr="00E626B0">
              <w:rPr>
                <w:i/>
                <w:iCs/>
                <w:lang w:val="es-ES"/>
              </w:rPr>
              <w:t>1</w:t>
            </w:r>
            <w:r w:rsidR="00E626B0" w:rsidRPr="00E626B0">
              <w:rPr>
                <w:lang w:val="es-ES"/>
              </w:rPr>
              <w:t xml:space="preserve"> (OMM-</w:t>
            </w:r>
            <w:proofErr w:type="spellStart"/>
            <w:r w:rsidR="00E626B0" w:rsidRPr="00E626B0">
              <w:rPr>
                <w:lang w:val="es-ES"/>
              </w:rPr>
              <w:t>Nº</w:t>
            </w:r>
            <w:proofErr w:type="spellEnd"/>
            <w:r w:rsidR="004239CB">
              <w:rPr>
                <w:lang w:val="es-ES"/>
              </w:rPr>
              <w:t> </w:t>
            </w:r>
            <w:r w:rsidR="00E626B0" w:rsidRPr="00E626B0">
              <w:rPr>
                <w:lang w:val="es-ES"/>
              </w:rPr>
              <w:t>15))</w:t>
            </w:r>
          </w:p>
          <w:p w14:paraId="23EFDEE1" w14:textId="069423D6" w:rsidR="00581CFE" w:rsidRPr="00E626B0" w:rsidRDefault="00581CFE" w:rsidP="00E626B0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 estratégico para 2020-2023:</w:t>
            </w:r>
            <w:r w:rsidRPr="00E626B0">
              <w:rPr>
                <w:lang w:val="es-ES"/>
              </w:rPr>
              <w:t xml:space="preserve"> </w:t>
            </w:r>
            <w:r w:rsidR="00E626B0" w:rsidRPr="00E626B0">
              <w:rPr>
                <w:lang w:val="es-ES"/>
              </w:rPr>
              <w:t xml:space="preserve">5.1 </w:t>
            </w:r>
            <w:r w:rsidR="00E626B0" w:rsidRPr="001A5334">
              <w:rPr>
                <w:lang w:val="es-ES"/>
              </w:rPr>
              <w:t>—</w:t>
            </w:r>
            <w:r w:rsidR="00E626B0">
              <w:rPr>
                <w:lang w:val="es-ES"/>
              </w:rPr>
              <w:t xml:space="preserve"> </w:t>
            </w:r>
            <w:r w:rsidR="00E626B0" w:rsidRPr="00E626B0">
              <w:rPr>
                <w:lang w:val="es-ES"/>
              </w:rPr>
              <w:t>Optimización de la estructura de los órganos integrantes de la Organización Meteorológica Mundial en favor de procesos de adopción de decisiones más eficaces</w:t>
            </w:r>
          </w:p>
          <w:p w14:paraId="4446254B" w14:textId="2A5C61D9" w:rsidR="00581CFE" w:rsidRDefault="00581CFE" w:rsidP="00E626B0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E626B0" w:rsidRPr="00B30C40">
              <w:rPr>
                <w:lang w:val="es-ES"/>
              </w:rPr>
              <w:t>dentro de los parámetros</w:t>
            </w:r>
            <w:r w:rsidR="00E626B0" w:rsidRPr="00C221EA">
              <w:rPr>
                <w:lang w:val="es-ES"/>
              </w:rPr>
              <w:t xml:space="preserve"> del Plan Estratégico y del Plan de Funcionamiento de la Organización Meteorológica Mundial (OMM) para 2020-2023</w:t>
            </w:r>
          </w:p>
          <w:p w14:paraId="521199FE" w14:textId="58A8D3E3" w:rsidR="00581CFE" w:rsidRPr="00E626B0" w:rsidRDefault="00581CFE" w:rsidP="00E626B0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E626B0">
              <w:rPr>
                <w:lang w:val="es-ES"/>
              </w:rPr>
              <w:t xml:space="preserve">el Consejo Ejecutivo, las asociaciones regionales, las comisiones técnicas, la </w:t>
            </w:r>
            <w:r w:rsidR="00E626B0" w:rsidRPr="00E626B0">
              <w:rPr>
                <w:lang w:val="es-ES"/>
              </w:rPr>
              <w:t>Junta de Investigación sobre el Tiempo, el Clima, el Agua y el Medioambiente</w:t>
            </w:r>
            <w:r w:rsidR="00E626B0">
              <w:rPr>
                <w:lang w:val="es-ES"/>
              </w:rPr>
              <w:t xml:space="preserve">, el </w:t>
            </w:r>
            <w:r w:rsidR="00E626B0" w:rsidRPr="00E626B0">
              <w:rPr>
                <w:lang w:val="es-ES"/>
              </w:rPr>
              <w:t>Grupo de Expertos del Consejo Ejecutivo sobre Desarrollo de Capacidad</w:t>
            </w:r>
            <w:r w:rsidR="00E626B0">
              <w:rPr>
                <w:lang w:val="es-ES"/>
              </w:rPr>
              <w:t>, el Presidente y el Secretario General</w:t>
            </w:r>
          </w:p>
          <w:p w14:paraId="084D86C2" w14:textId="6374E523" w:rsidR="00581CFE" w:rsidRDefault="00581CFE" w:rsidP="00E626B0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E626B0">
              <w:rPr>
                <w:lang w:val="es-ES"/>
              </w:rPr>
              <w:t>2023</w:t>
            </w:r>
          </w:p>
          <w:p w14:paraId="21378005" w14:textId="4A8B2E49" w:rsidR="00581CFE" w:rsidRPr="00633FDB" w:rsidRDefault="00581CFE" w:rsidP="00E626B0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EC23F4">
              <w:rPr>
                <w:lang w:val="es-ES"/>
              </w:rPr>
              <w:t>adoptar el proyecto de Decisión 2/1 (EC-76)</w:t>
            </w:r>
          </w:p>
        </w:tc>
      </w:tr>
      <w:tr w:rsidR="00581CFE" w:rsidRPr="0085612E" w14:paraId="63F39002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D8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093B0A1C" w14:textId="7D0090AC" w:rsidR="00581CFE" w:rsidRPr="00EC23F4" w:rsidRDefault="00B01B02" w:rsidP="00581CFE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38FF7FC8" w14:textId="72E1A209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DECISIÓN</w:t>
      </w:r>
    </w:p>
    <w:p w14:paraId="3CD5EA8E" w14:textId="360B5D9B" w:rsidR="00581CFE" w:rsidRPr="00633FDB" w:rsidRDefault="00581CFE" w:rsidP="00581CFE">
      <w:pPr>
        <w:pStyle w:val="Heading2"/>
      </w:pPr>
      <w:r w:rsidRPr="00633FDB">
        <w:t xml:space="preserve">Proyecto de Decisión </w:t>
      </w:r>
      <w:r w:rsidR="00EC23F4">
        <w:t>2</w:t>
      </w:r>
      <w:r w:rsidRPr="00633FDB">
        <w:t>/1 (EC-7</w:t>
      </w:r>
      <w:r>
        <w:t>6</w:t>
      </w:r>
      <w:r w:rsidRPr="00633FDB">
        <w:t>)</w:t>
      </w:r>
    </w:p>
    <w:p w14:paraId="75942DB0" w14:textId="60CED738" w:rsidR="00581CFE" w:rsidRPr="00633FDB" w:rsidRDefault="00EC23F4" w:rsidP="00581CFE">
      <w:pPr>
        <w:pStyle w:val="Heading3"/>
      </w:pPr>
      <w:r>
        <w:t>Examen de los informes</w:t>
      </w:r>
    </w:p>
    <w:p w14:paraId="50A9AC8D" w14:textId="00349500" w:rsidR="00581CFE" w:rsidRPr="00633FDB" w:rsidRDefault="00581CFE" w:rsidP="00581CFE">
      <w:pPr>
        <w:pStyle w:val="StyleWMOBodyTextBold"/>
      </w:pPr>
      <w:r w:rsidRPr="00633FDB">
        <w:t>El Consejo Ejecutivo decide</w:t>
      </w:r>
      <w:r w:rsidR="00EC23F4">
        <w:t>:</w:t>
      </w:r>
    </w:p>
    <w:p w14:paraId="45BA686F" w14:textId="54A2A117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t>1)</w:t>
      </w:r>
      <w:r>
        <w:rPr>
          <w:lang w:val="es-ES"/>
        </w:rPr>
        <w:tab/>
        <w:t>tomar nota de los informes del Presidente de la Organización Meteorológica Mundial (OMM), los presidentes de las asociaciones regionales y el Secretario General, en los que se destacan los progresos realizados</w:t>
      </w:r>
      <w:r w:rsidR="006F0546">
        <w:rPr>
          <w:lang w:val="es-ES"/>
        </w:rPr>
        <w:t xml:space="preserve"> desde su 75ª reunión</w:t>
      </w:r>
      <w:r>
        <w:rPr>
          <w:lang w:val="es-ES"/>
        </w:rPr>
        <w:t xml:space="preserve"> en las actividades de la Organización, </w:t>
      </w:r>
      <w:r w:rsidR="006F0546">
        <w:rPr>
          <w:lang w:val="es-ES"/>
        </w:rPr>
        <w:t>de sus</w:t>
      </w:r>
      <w:r>
        <w:rPr>
          <w:lang w:val="es-ES"/>
        </w:rPr>
        <w:t xml:space="preserve"> órganos integrantes y </w:t>
      </w:r>
      <w:r w:rsidR="006F0546">
        <w:rPr>
          <w:lang w:val="es-ES"/>
        </w:rPr>
        <w:t xml:space="preserve">de </w:t>
      </w:r>
      <w:r>
        <w:rPr>
          <w:lang w:val="es-ES"/>
        </w:rPr>
        <w:t>la Secretaría</w:t>
      </w:r>
      <w:r w:rsidR="006F0546">
        <w:rPr>
          <w:lang w:val="es-ES"/>
        </w:rPr>
        <w:t xml:space="preserve">, </w:t>
      </w:r>
      <w:r>
        <w:rPr>
          <w:lang w:val="es-ES"/>
        </w:rPr>
        <w:t xml:space="preserve">y </w:t>
      </w:r>
      <w:r w:rsidR="00A76C8E">
        <w:rPr>
          <w:lang w:val="es-ES"/>
        </w:rPr>
        <w:t>ratificar</w:t>
      </w:r>
      <w:r>
        <w:rPr>
          <w:lang w:val="es-ES"/>
        </w:rPr>
        <w:t xml:space="preserve"> las medidas adoptadas por el Presidente en nombre del Consejo Ejecutivo y la decisión del Secretario General relativa a las prórrogas aplicadas de forma excepcional a los contratos una vez rebasada la edad de jubilación</w:t>
      </w:r>
      <w:r w:rsidR="00E01949">
        <w:rPr>
          <w:lang w:val="es-ES"/>
        </w:rPr>
        <w:t>;</w:t>
      </w:r>
    </w:p>
    <w:p w14:paraId="1B454D3B" w14:textId="1041F718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t>2)</w:t>
      </w:r>
      <w:r>
        <w:rPr>
          <w:lang w:val="es-ES"/>
        </w:rPr>
        <w:tab/>
      </w:r>
      <w:r w:rsidR="00DE4558" w:rsidRPr="00F77524">
        <w:rPr>
          <w:lang w:val="es-ES"/>
        </w:rPr>
        <w:t>e</w:t>
      </w:r>
      <w:r w:rsidRPr="00F77524">
        <w:rPr>
          <w:lang w:val="es-ES"/>
        </w:rPr>
        <w:t>n relación con el informe del presidente</w:t>
      </w:r>
      <w:r>
        <w:rPr>
          <w:lang w:val="es-ES"/>
        </w:rPr>
        <w:t xml:space="preserve"> de la Comisión de Aplicaciones y Servicios Meteorológicos, Climáticos, Hidrológicos y Medioambientales Conexos (SERCOM), </w:t>
      </w:r>
      <w:r w:rsidR="00A76C8E">
        <w:rPr>
          <w:lang w:val="es-ES"/>
        </w:rPr>
        <w:t>publicado</w:t>
      </w:r>
      <w:r>
        <w:rPr>
          <w:lang w:val="es-ES"/>
        </w:rPr>
        <w:t xml:space="preserve"> en el documento </w:t>
      </w:r>
      <w:hyperlink r:id="rId13" w:history="1">
        <w:r w:rsidRPr="004F3E6C">
          <w:rPr>
            <w:rStyle w:val="Hyperlink"/>
            <w:lang w:val="es-ES"/>
          </w:rPr>
          <w:t>EC-</w:t>
        </w:r>
        <w:r w:rsidRPr="00A76C8E">
          <w:rPr>
            <w:rStyle w:val="Hyperlink"/>
            <w:lang w:val="es-ES"/>
          </w:rPr>
          <w:t>76/INF.</w:t>
        </w:r>
        <w:r w:rsidR="00A76C8E">
          <w:rPr>
            <w:rStyle w:val="Hyperlink"/>
            <w:lang w:val="es-ES"/>
          </w:rPr>
          <w:t> </w:t>
        </w:r>
        <w:r w:rsidRPr="00A76C8E">
          <w:rPr>
            <w:rStyle w:val="Hyperlink"/>
            <w:lang w:val="es-ES"/>
          </w:rPr>
          <w:t>2.4(1)</w:t>
        </w:r>
      </w:hyperlink>
      <w:r>
        <w:rPr>
          <w:lang w:val="es-ES"/>
        </w:rPr>
        <w:t xml:space="preserve">, </w:t>
      </w:r>
      <w:r w:rsidR="00F77524">
        <w:rPr>
          <w:lang w:val="es-ES"/>
        </w:rPr>
        <w:t xml:space="preserve">notar </w:t>
      </w:r>
      <w:r w:rsidR="004F3E6C">
        <w:rPr>
          <w:lang w:val="es-ES"/>
        </w:rPr>
        <w:t xml:space="preserve">la aprobación </w:t>
      </w:r>
      <w:r w:rsidR="00F77524">
        <w:rPr>
          <w:lang w:val="es-ES"/>
        </w:rPr>
        <w:t>por</w:t>
      </w:r>
      <w:r w:rsidR="004F3E6C">
        <w:rPr>
          <w:lang w:val="es-ES"/>
        </w:rPr>
        <w:t xml:space="preserve"> la SERCOM en su segunda reunión del material de orientación que figura a continuación, </w:t>
      </w:r>
      <w:r w:rsidR="00DE4558">
        <w:rPr>
          <w:lang w:val="es-ES"/>
        </w:rPr>
        <w:t>e invita</w:t>
      </w:r>
      <w:r w:rsidR="00A76C8E">
        <w:rPr>
          <w:lang w:val="es-ES"/>
        </w:rPr>
        <w:t>r</w:t>
      </w:r>
      <w:r w:rsidR="00DE4558">
        <w:rPr>
          <w:lang w:val="es-ES"/>
        </w:rPr>
        <w:t xml:space="preserve"> </w:t>
      </w:r>
      <w:r w:rsidR="00DE4558" w:rsidRPr="00F77524">
        <w:rPr>
          <w:lang w:val="es-ES"/>
        </w:rPr>
        <w:t xml:space="preserve">a los Miembros a </w:t>
      </w:r>
      <w:r w:rsidR="00F77524">
        <w:rPr>
          <w:lang w:val="es-ES"/>
        </w:rPr>
        <w:t>tomar conocimiento de</w:t>
      </w:r>
      <w:r w:rsidR="00DE4558" w:rsidRPr="00F77524">
        <w:rPr>
          <w:lang w:val="es-ES"/>
        </w:rPr>
        <w:t xml:space="preserve"> él y a aplicarlo</w:t>
      </w:r>
      <w:r w:rsidRPr="00F77524">
        <w:rPr>
          <w:lang w:val="es-ES"/>
        </w:rPr>
        <w:t>:</w:t>
      </w:r>
    </w:p>
    <w:p w14:paraId="4CB0A148" w14:textId="7D7F4439" w:rsidR="00EC23F4" w:rsidRPr="001A3E6E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a)</w:t>
      </w:r>
      <w:r>
        <w:rPr>
          <w:lang w:val="es-ES"/>
        </w:rPr>
        <w:tab/>
        <w:t>Mejores Prácticas en materia de Servicios Meteorológicos y Climáticos Integrados con vistas a la Transición Energética hacia el Cero Neto en Emisiones (</w:t>
      </w:r>
      <w:hyperlink r:id="rId14" w:history="1">
        <w:r w:rsidRPr="00FB406F">
          <w:rPr>
            <w:rStyle w:val="Hyperlink"/>
            <w:lang w:val="es-ES"/>
          </w:rPr>
          <w:t>Decisión</w:t>
        </w:r>
        <w:r w:rsidR="006F0546">
          <w:rPr>
            <w:rStyle w:val="Hyperlink"/>
            <w:lang w:val="es-ES"/>
          </w:rPr>
          <w:t> </w:t>
        </w:r>
        <w:r w:rsidRPr="00FB406F">
          <w:rPr>
            <w:rStyle w:val="Hyperlink"/>
            <w:lang w:val="es-ES"/>
          </w:rPr>
          <w:t>5.9/1 (SERCOM-2)</w:t>
        </w:r>
      </w:hyperlink>
      <w:r>
        <w:rPr>
          <w:lang w:val="es-ES"/>
        </w:rPr>
        <w:t xml:space="preserve">); </w:t>
      </w:r>
    </w:p>
    <w:p w14:paraId="2F28209F" w14:textId="5D51D164" w:rsidR="00EC23F4" w:rsidRPr="001A3E6E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b)</w:t>
      </w:r>
      <w:r>
        <w:rPr>
          <w:lang w:val="es-ES"/>
        </w:rPr>
        <w:tab/>
      </w:r>
      <w:r w:rsidR="002B6C63" w:rsidRPr="002B6C63">
        <w:rPr>
          <w:lang w:val="es-ES"/>
        </w:rPr>
        <w:t>Buenas prácticas en materia de modelización de alta resolución para los servicios urbanos integrados</w:t>
      </w:r>
      <w:r>
        <w:rPr>
          <w:lang w:val="es-ES"/>
        </w:rPr>
        <w:t xml:space="preserve"> </w:t>
      </w:r>
      <w:r w:rsidR="00F77524">
        <w:t>(</w:t>
      </w:r>
      <w:hyperlink r:id="rId15" w:history="1">
        <w:r w:rsidRPr="002B6C63">
          <w:rPr>
            <w:rStyle w:val="Hyperlink"/>
            <w:lang w:val="es-ES"/>
          </w:rPr>
          <w:t>Decisi</w:t>
        </w:r>
        <w:r w:rsidR="002B6C63" w:rsidRPr="002B6C63">
          <w:rPr>
            <w:rStyle w:val="Hyperlink"/>
            <w:lang w:val="es-ES"/>
          </w:rPr>
          <w:t>ón</w:t>
        </w:r>
        <w:r w:rsidR="006F0546">
          <w:rPr>
            <w:rStyle w:val="Hyperlink"/>
            <w:lang w:val="es-ES"/>
          </w:rPr>
          <w:t> </w:t>
        </w:r>
        <w:r w:rsidRPr="002B6C63">
          <w:rPr>
            <w:rStyle w:val="Hyperlink"/>
            <w:lang w:val="es-ES"/>
          </w:rPr>
          <w:t>5.11/1 (SERCOM-2)</w:t>
        </w:r>
      </w:hyperlink>
      <w:r w:rsidRPr="002B6C63">
        <w:rPr>
          <w:lang w:val="es-ES"/>
        </w:rPr>
        <w:t>)</w:t>
      </w:r>
      <w:r>
        <w:rPr>
          <w:lang w:val="es-ES"/>
        </w:rPr>
        <w:t>;</w:t>
      </w:r>
    </w:p>
    <w:p w14:paraId="317848F5" w14:textId="351E9086" w:rsidR="00EC23F4" w:rsidRPr="001A3E6E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c)</w:t>
      </w:r>
      <w:r>
        <w:rPr>
          <w:lang w:val="es-ES"/>
        </w:rPr>
        <w:tab/>
        <w:t>Resumen y recomendaciones del Taller sobre la Integración de las Actividades Relacionadas con las Zonas Urbanas en la Organización Meteorológica Mundial (</w:t>
      </w:r>
      <w:hyperlink r:id="rId16" w:history="1">
        <w:r w:rsidRPr="00FB406F">
          <w:rPr>
            <w:rStyle w:val="Hyperlink"/>
            <w:lang w:val="es-ES"/>
          </w:rPr>
          <w:t>Decisión</w:t>
        </w:r>
        <w:r w:rsidR="006F0546">
          <w:rPr>
            <w:rStyle w:val="Hyperlink"/>
            <w:lang w:val="es-ES"/>
          </w:rPr>
          <w:t> </w:t>
        </w:r>
        <w:r w:rsidRPr="00FB406F">
          <w:rPr>
            <w:rStyle w:val="Hyperlink"/>
            <w:lang w:val="es-ES"/>
          </w:rPr>
          <w:t>5.11/</w:t>
        </w:r>
        <w:r w:rsidR="00F77524">
          <w:rPr>
            <w:rStyle w:val="Hyperlink"/>
            <w:lang w:val="es-ES"/>
          </w:rPr>
          <w:t>2</w:t>
        </w:r>
        <w:r w:rsidRPr="00FB406F">
          <w:rPr>
            <w:rStyle w:val="Hyperlink"/>
            <w:lang w:val="es-ES"/>
          </w:rPr>
          <w:t xml:space="preserve"> (SERCOM-2)</w:t>
        </w:r>
      </w:hyperlink>
      <w:r>
        <w:rPr>
          <w:lang w:val="es-ES"/>
        </w:rPr>
        <w:t>);</w:t>
      </w:r>
    </w:p>
    <w:p w14:paraId="6E93A6A2" w14:textId="68798276" w:rsidR="00EC23F4" w:rsidRPr="001A3E6E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d)</w:t>
      </w:r>
      <w:r>
        <w:rPr>
          <w:lang w:val="es-ES"/>
        </w:rPr>
        <w:tab/>
      </w:r>
      <w:r w:rsidR="001F73F7">
        <w:rPr>
          <w:lang w:val="es-ES"/>
        </w:rPr>
        <w:t>A</w:t>
      </w:r>
      <w:r>
        <w:rPr>
          <w:lang w:val="es-ES"/>
        </w:rPr>
        <w:t xml:space="preserve">ctividades </w:t>
      </w:r>
      <w:r w:rsidR="001F73F7">
        <w:rPr>
          <w:lang w:val="es-ES"/>
        </w:rPr>
        <w:t xml:space="preserve">de la Organización Meteorológica Mundial </w:t>
      </w:r>
      <w:r>
        <w:rPr>
          <w:lang w:val="es-ES"/>
        </w:rPr>
        <w:t>e</w:t>
      </w:r>
      <w:r w:rsidR="00FB406F">
        <w:rPr>
          <w:lang w:val="es-ES"/>
        </w:rPr>
        <w:t xml:space="preserve">n el ámbito del </w:t>
      </w:r>
      <w:r>
        <w:rPr>
          <w:lang w:val="es-ES"/>
        </w:rPr>
        <w:t xml:space="preserve">calor </w:t>
      </w:r>
      <w:r w:rsidR="001F73F7">
        <w:rPr>
          <w:lang w:val="es-ES"/>
        </w:rPr>
        <w:t xml:space="preserve">extremo </w:t>
      </w:r>
      <w:r>
        <w:rPr>
          <w:lang w:val="es-ES"/>
        </w:rPr>
        <w:t xml:space="preserve">y </w:t>
      </w:r>
      <w:r w:rsidR="00FB406F">
        <w:rPr>
          <w:lang w:val="es-ES"/>
        </w:rPr>
        <w:t xml:space="preserve">la </w:t>
      </w:r>
      <w:r>
        <w:rPr>
          <w:lang w:val="es-ES"/>
        </w:rPr>
        <w:t>salud (</w:t>
      </w:r>
      <w:hyperlink r:id="rId17" w:history="1">
        <w:r w:rsidRPr="00FB406F">
          <w:rPr>
            <w:rStyle w:val="Hyperlink"/>
            <w:lang w:val="es-ES"/>
          </w:rPr>
          <w:t>Decisión</w:t>
        </w:r>
        <w:r w:rsidR="006F0546">
          <w:rPr>
            <w:rStyle w:val="Hyperlink"/>
            <w:lang w:val="es-ES"/>
          </w:rPr>
          <w:t> </w:t>
        </w:r>
        <w:r w:rsidRPr="00FB406F">
          <w:rPr>
            <w:rStyle w:val="Hyperlink"/>
            <w:lang w:val="es-ES"/>
          </w:rPr>
          <w:t>5.10</w:t>
        </w:r>
        <w:r w:rsidR="001F73F7">
          <w:rPr>
            <w:rStyle w:val="Hyperlink"/>
            <w:lang w:val="es-ES"/>
          </w:rPr>
          <w:t>(1)</w:t>
        </w:r>
        <w:r w:rsidRPr="00FB406F">
          <w:rPr>
            <w:rStyle w:val="Hyperlink"/>
            <w:lang w:val="es-ES"/>
          </w:rPr>
          <w:t>/1 (SERCOM-2)</w:t>
        </w:r>
      </w:hyperlink>
      <w:r>
        <w:rPr>
          <w:lang w:val="es-ES"/>
        </w:rPr>
        <w:t>); y</w:t>
      </w:r>
    </w:p>
    <w:p w14:paraId="316C8791" w14:textId="0AA6D4F0" w:rsidR="00EC23F4" w:rsidRPr="003C1290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e)</w:t>
      </w:r>
      <w:r>
        <w:rPr>
          <w:lang w:val="es-ES"/>
        </w:rPr>
        <w:tab/>
      </w:r>
      <w:r w:rsidR="00E97A18">
        <w:rPr>
          <w:lang w:val="es-ES"/>
        </w:rPr>
        <w:t xml:space="preserve">Análisis </w:t>
      </w:r>
      <w:r>
        <w:rPr>
          <w:lang w:val="es-ES"/>
        </w:rPr>
        <w:t xml:space="preserve">de la investigación y los productos </w:t>
      </w:r>
      <w:r w:rsidR="00E97A18">
        <w:rPr>
          <w:lang w:val="es-ES"/>
        </w:rPr>
        <w:t>relacionados con las</w:t>
      </w:r>
      <w:r>
        <w:rPr>
          <w:lang w:val="es-ES"/>
        </w:rPr>
        <w:t xml:space="preserve"> enfermedades infecciosas (</w:t>
      </w:r>
      <w:hyperlink r:id="rId18" w:history="1">
        <w:r w:rsidRPr="00E97A18">
          <w:rPr>
            <w:rStyle w:val="Hyperlink"/>
            <w:lang w:val="es-ES"/>
          </w:rPr>
          <w:t>Decisión</w:t>
        </w:r>
        <w:r w:rsidR="006F0546">
          <w:rPr>
            <w:rStyle w:val="Hyperlink"/>
            <w:lang w:val="es-ES"/>
          </w:rPr>
          <w:t> </w:t>
        </w:r>
        <w:r w:rsidRPr="00E97A18">
          <w:rPr>
            <w:rStyle w:val="Hyperlink"/>
            <w:lang w:val="es-ES"/>
          </w:rPr>
          <w:t>5.10(2)/1 (SERCOM-2)</w:t>
        </w:r>
      </w:hyperlink>
      <w:r>
        <w:rPr>
          <w:lang w:val="es-ES"/>
        </w:rPr>
        <w:t>);</w:t>
      </w:r>
    </w:p>
    <w:p w14:paraId="2B99A31D" w14:textId="5264402E" w:rsidR="00EC23F4" w:rsidRPr="00310D67" w:rsidRDefault="00EC23F4" w:rsidP="00EC23F4">
      <w:pPr>
        <w:pStyle w:val="WMOBodyText"/>
        <w:tabs>
          <w:tab w:val="left" w:pos="567"/>
        </w:tabs>
        <w:ind w:left="567" w:hanging="567"/>
        <w:rPr>
          <w:lang w:val="es-ES"/>
        </w:rPr>
      </w:pPr>
      <w:r w:rsidRPr="005351CB">
        <w:rPr>
          <w:lang w:val="es-ES"/>
        </w:rPr>
        <w:t>3)</w:t>
      </w:r>
      <w:r w:rsidRPr="005351CB">
        <w:rPr>
          <w:lang w:val="es-ES"/>
        </w:rPr>
        <w:tab/>
      </w:r>
      <w:r w:rsidR="00B70FE4" w:rsidRPr="00F77524">
        <w:rPr>
          <w:lang w:val="es-ES"/>
        </w:rPr>
        <w:t>e</w:t>
      </w:r>
      <w:r w:rsidRPr="00F77524">
        <w:rPr>
          <w:lang w:val="es-ES"/>
        </w:rPr>
        <w:t>n relación con el informe</w:t>
      </w:r>
      <w:r w:rsidRPr="005351CB">
        <w:rPr>
          <w:lang w:val="es-ES"/>
        </w:rPr>
        <w:t xml:space="preserve"> del presidente de la SERCOM, </w:t>
      </w:r>
      <w:r w:rsidR="00F77524">
        <w:rPr>
          <w:lang w:val="es-ES"/>
        </w:rPr>
        <w:t>publicado</w:t>
      </w:r>
      <w:r w:rsidRPr="005351CB">
        <w:rPr>
          <w:lang w:val="es-ES"/>
        </w:rPr>
        <w:t xml:space="preserve"> en el documento </w:t>
      </w:r>
      <w:hyperlink r:id="rId19" w:history="1">
        <w:r w:rsidRPr="00F77524">
          <w:rPr>
            <w:rStyle w:val="Hyperlink"/>
            <w:lang w:val="es-ES"/>
          </w:rPr>
          <w:t>EC</w:t>
        </w:r>
        <w:r w:rsidR="00A60F48" w:rsidRPr="00F77524">
          <w:rPr>
            <w:rStyle w:val="Hyperlink"/>
            <w:lang w:val="es-ES"/>
          </w:rPr>
          <w:noBreakHyphen/>
        </w:r>
        <w:r w:rsidRPr="00F77524">
          <w:rPr>
            <w:rStyle w:val="Hyperlink"/>
            <w:lang w:val="es-ES"/>
          </w:rPr>
          <w:t>76/INF.</w:t>
        </w:r>
        <w:r w:rsidR="00F77524" w:rsidRPr="00F77524">
          <w:rPr>
            <w:rStyle w:val="Hyperlink"/>
            <w:lang w:val="es-ES"/>
          </w:rPr>
          <w:t> </w:t>
        </w:r>
        <w:r w:rsidRPr="00F77524">
          <w:rPr>
            <w:rStyle w:val="Hyperlink"/>
            <w:lang w:val="es-ES"/>
          </w:rPr>
          <w:t>2.4(</w:t>
        </w:r>
        <w:r w:rsidR="00A60F48" w:rsidRPr="00F77524">
          <w:rPr>
            <w:rStyle w:val="Hyperlink"/>
            <w:lang w:val="es-ES"/>
          </w:rPr>
          <w:t>2</w:t>
        </w:r>
        <w:r w:rsidRPr="00F77524">
          <w:rPr>
            <w:rStyle w:val="Hyperlink"/>
            <w:lang w:val="es-ES"/>
          </w:rPr>
          <w:t>)</w:t>
        </w:r>
      </w:hyperlink>
      <w:r w:rsidRPr="00F77524">
        <w:rPr>
          <w:lang w:val="es-ES"/>
        </w:rPr>
        <w:t xml:space="preserve">, </w:t>
      </w:r>
      <w:r w:rsidR="005351CB" w:rsidRPr="00DE4558">
        <w:rPr>
          <w:lang w:val="es-ES"/>
        </w:rPr>
        <w:t>notar la</w:t>
      </w:r>
      <w:r w:rsidR="005351CB">
        <w:rPr>
          <w:lang w:val="es-ES"/>
        </w:rPr>
        <w:t xml:space="preserve"> aprobación por la SERCOM en su segunda reunión</w:t>
      </w:r>
      <w:r w:rsidR="00F77524">
        <w:rPr>
          <w:lang w:val="es-ES"/>
        </w:rPr>
        <w:t xml:space="preserve"> </w:t>
      </w:r>
      <w:r w:rsidR="005351CB">
        <w:rPr>
          <w:lang w:val="es-ES"/>
        </w:rPr>
        <w:t>del material de orientación que figura a continuación</w:t>
      </w:r>
      <w:r w:rsidR="00310D67">
        <w:rPr>
          <w:lang w:val="es-ES"/>
        </w:rPr>
        <w:t xml:space="preserve"> (incluido un proyecto de documento)</w:t>
      </w:r>
      <w:r w:rsidR="005351CB">
        <w:rPr>
          <w:lang w:val="es-ES"/>
        </w:rPr>
        <w:t xml:space="preserve">, </w:t>
      </w:r>
      <w:r w:rsidR="00DE4558">
        <w:rPr>
          <w:lang w:val="es-ES"/>
        </w:rPr>
        <w:t xml:space="preserve">e </w:t>
      </w:r>
      <w:r w:rsidR="00DE4558" w:rsidRPr="00310D67">
        <w:rPr>
          <w:lang w:val="es-ES"/>
        </w:rPr>
        <w:t>invita</w:t>
      </w:r>
      <w:r w:rsidR="00F77524" w:rsidRPr="00310D67">
        <w:rPr>
          <w:lang w:val="es-ES"/>
        </w:rPr>
        <w:t>r</w:t>
      </w:r>
      <w:r w:rsidR="00DE4558" w:rsidRPr="00310D67">
        <w:rPr>
          <w:lang w:val="es-ES"/>
        </w:rPr>
        <w:t xml:space="preserve"> a los Miembros a </w:t>
      </w:r>
      <w:r w:rsidR="00F77524" w:rsidRPr="00310D67">
        <w:rPr>
          <w:lang w:val="es-ES"/>
        </w:rPr>
        <w:t>tomar conocimiento de</w:t>
      </w:r>
      <w:r w:rsidR="00DE4558" w:rsidRPr="00310D67">
        <w:rPr>
          <w:lang w:val="es-ES"/>
        </w:rPr>
        <w:t xml:space="preserve"> él y a aplicarlo</w:t>
      </w:r>
      <w:r w:rsidRPr="00310D67">
        <w:rPr>
          <w:lang w:val="es-ES"/>
        </w:rPr>
        <w:t>:</w:t>
      </w:r>
    </w:p>
    <w:p w14:paraId="4013566B" w14:textId="4ED4F990" w:rsidR="00EC23F4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 w:rsidRPr="00310D67">
        <w:rPr>
          <w:lang w:val="es-ES"/>
        </w:rPr>
        <w:t>a)</w:t>
      </w:r>
      <w:r w:rsidRPr="00310D67">
        <w:rPr>
          <w:lang w:val="es-ES"/>
        </w:rPr>
        <w:tab/>
      </w:r>
      <w:r w:rsidR="00310D67">
        <w:rPr>
          <w:lang w:val="es-ES"/>
        </w:rPr>
        <w:t>P</w:t>
      </w:r>
      <w:r w:rsidR="001F73F7" w:rsidRPr="00310D67">
        <w:rPr>
          <w:lang w:val="es-ES"/>
        </w:rPr>
        <w:t>royecto de d</w:t>
      </w:r>
      <w:r w:rsidRPr="00310D67">
        <w:rPr>
          <w:lang w:val="es-ES"/>
        </w:rPr>
        <w:t>irectrices sobre la predicción numérica</w:t>
      </w:r>
      <w:r>
        <w:rPr>
          <w:lang w:val="es-ES"/>
        </w:rPr>
        <w:t xml:space="preserve"> del tiempo de alta resolución</w:t>
      </w:r>
      <w:r w:rsidR="001B372C">
        <w:rPr>
          <w:lang w:val="es-ES"/>
        </w:rPr>
        <w:t xml:space="preserve"> </w:t>
      </w:r>
      <w:r>
        <w:rPr>
          <w:lang w:val="es-ES"/>
        </w:rPr>
        <w:t>(</w:t>
      </w:r>
      <w:hyperlink r:id="rId20" w:history="1">
        <w:r w:rsidRPr="00310D67">
          <w:rPr>
            <w:rStyle w:val="Hyperlink"/>
            <w:lang w:val="es-ES"/>
          </w:rPr>
          <w:t>INFCOM-2/INF.</w:t>
        </w:r>
        <w:r w:rsidR="00310D67" w:rsidRPr="00310D67">
          <w:rPr>
            <w:rStyle w:val="Hyperlink"/>
            <w:lang w:val="es-ES"/>
          </w:rPr>
          <w:t> </w:t>
        </w:r>
        <w:r w:rsidRPr="00310D67">
          <w:rPr>
            <w:rStyle w:val="Hyperlink"/>
            <w:lang w:val="es-ES"/>
          </w:rPr>
          <w:t>6.4(2.</w:t>
        </w:r>
        <w:r w:rsidRPr="00B70FE4">
          <w:rPr>
            <w:rStyle w:val="Hyperlink"/>
            <w:lang w:val="es-ES"/>
          </w:rPr>
          <w:t>2)</w:t>
        </w:r>
      </w:hyperlink>
      <w:r>
        <w:rPr>
          <w:lang w:val="es-ES"/>
        </w:rPr>
        <w:t>); y</w:t>
      </w:r>
    </w:p>
    <w:p w14:paraId="40E71A44" w14:textId="188FCA99" w:rsidR="00EC23F4" w:rsidRPr="00F02D1D" w:rsidRDefault="00EC23F4" w:rsidP="00EC23F4">
      <w:pPr>
        <w:pStyle w:val="WMOIndent3"/>
        <w:tabs>
          <w:tab w:val="clear" w:pos="1701"/>
          <w:tab w:val="left" w:pos="1134"/>
        </w:tabs>
        <w:ind w:left="1134"/>
      </w:pPr>
      <w:r>
        <w:rPr>
          <w:lang w:val="es-ES"/>
        </w:rPr>
        <w:t>b)</w:t>
      </w:r>
      <w:r>
        <w:rPr>
          <w:lang w:val="es-ES"/>
        </w:rPr>
        <w:tab/>
      </w:r>
      <w:r w:rsidR="00310D67">
        <w:rPr>
          <w:lang w:val="es-ES"/>
        </w:rPr>
        <w:t>D</w:t>
      </w:r>
      <w:r w:rsidRPr="001B372C">
        <w:rPr>
          <w:lang w:val="es-ES"/>
        </w:rPr>
        <w:t>ir</w:t>
      </w:r>
      <w:r>
        <w:rPr>
          <w:lang w:val="es-ES"/>
        </w:rPr>
        <w:t>ectrices para verificar y calibrar instrumentos de medición de caudal y presentar los correspondientes informes (</w:t>
      </w:r>
      <w:hyperlink r:id="rId21" w:history="1">
        <w:r w:rsidRPr="001F73F7">
          <w:rPr>
            <w:rStyle w:val="Hyperlink"/>
            <w:lang w:val="es-ES"/>
          </w:rPr>
          <w:t>INFCOM/</w:t>
        </w:r>
        <w:r w:rsidR="001F73F7" w:rsidRPr="001F73F7">
          <w:rPr>
            <w:rStyle w:val="Hyperlink"/>
            <w:lang w:val="es-ES"/>
          </w:rPr>
          <w:t>Doc</w:t>
        </w:r>
        <w:r w:rsidRPr="001F73F7">
          <w:rPr>
            <w:rStyle w:val="Hyperlink"/>
            <w:lang w:val="es-ES"/>
          </w:rPr>
          <w:t>.</w:t>
        </w:r>
        <w:r w:rsidR="00310D67">
          <w:rPr>
            <w:rStyle w:val="Hyperlink"/>
            <w:lang w:val="es-ES"/>
          </w:rPr>
          <w:t> </w:t>
        </w:r>
        <w:r w:rsidRPr="001F73F7">
          <w:rPr>
            <w:rStyle w:val="Hyperlink"/>
            <w:lang w:val="es-ES"/>
          </w:rPr>
          <w:t>6</w:t>
        </w:r>
        <w:r w:rsidR="00DE4558" w:rsidRPr="001F73F7">
          <w:rPr>
            <w:rStyle w:val="Hyperlink"/>
            <w:lang w:val="es-ES"/>
          </w:rPr>
          <w:t>.</w:t>
        </w:r>
        <w:r w:rsidRPr="001F73F7">
          <w:rPr>
            <w:rStyle w:val="Hyperlink"/>
            <w:lang w:val="es-ES"/>
          </w:rPr>
          <w:t>2(6)</w:t>
        </w:r>
      </w:hyperlink>
      <w:r w:rsidRPr="001F73F7">
        <w:rPr>
          <w:lang w:val="es-ES"/>
        </w:rPr>
        <w:t>);</w:t>
      </w:r>
    </w:p>
    <w:p w14:paraId="7CE782E8" w14:textId="6C409C9C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t>4)</w:t>
      </w:r>
      <w:r>
        <w:rPr>
          <w:lang w:val="es-ES"/>
        </w:rPr>
        <w:tab/>
      </w:r>
      <w:r w:rsidR="00310D67">
        <w:rPr>
          <w:lang w:val="es-ES"/>
        </w:rPr>
        <w:t>examinar</w:t>
      </w:r>
      <w:r>
        <w:rPr>
          <w:lang w:val="es-ES"/>
        </w:rPr>
        <w:t xml:space="preserve">, en el marco de los puntos del orden del día pertinentes, </w:t>
      </w:r>
      <w:r w:rsidR="00310D67">
        <w:rPr>
          <w:lang w:val="es-ES"/>
        </w:rPr>
        <w:t>otros asuntos que se abordan en los</w:t>
      </w:r>
      <w:r>
        <w:rPr>
          <w:lang w:val="es-ES"/>
        </w:rPr>
        <w:t xml:space="preserve"> informes de los presidentes de las comisiones técnicas y de la </w:t>
      </w:r>
      <w:r w:rsidRPr="00B70FE4">
        <w:rPr>
          <w:lang w:val="es-ES"/>
        </w:rPr>
        <w:t>presidenta de la Junta</w:t>
      </w:r>
      <w:r>
        <w:rPr>
          <w:lang w:val="es-ES"/>
        </w:rPr>
        <w:t xml:space="preserve"> de Investigación;</w:t>
      </w:r>
    </w:p>
    <w:p w14:paraId="5896072D" w14:textId="7163D7F3" w:rsidR="00EC23F4" w:rsidRDefault="00EC23F4" w:rsidP="00EC23F4">
      <w:pPr>
        <w:pStyle w:val="WMOBodyText"/>
        <w:tabs>
          <w:tab w:val="left" w:pos="567"/>
        </w:tabs>
        <w:spacing w:after="240"/>
        <w:ind w:left="567" w:hanging="567"/>
      </w:pPr>
      <w:r>
        <w:rPr>
          <w:lang w:val="es-ES"/>
        </w:rPr>
        <w:lastRenderedPageBreak/>
        <w:t>5)</w:t>
      </w:r>
      <w:r>
        <w:rPr>
          <w:lang w:val="es-ES"/>
        </w:rPr>
        <w:tab/>
      </w:r>
      <w:r w:rsidR="001B372C" w:rsidRPr="00310D67">
        <w:rPr>
          <w:lang w:val="es-ES"/>
        </w:rPr>
        <w:t>e</w:t>
      </w:r>
      <w:r w:rsidRPr="00310D67">
        <w:rPr>
          <w:lang w:val="es-ES"/>
        </w:rPr>
        <w:t>n relación con el informe</w:t>
      </w:r>
      <w:r>
        <w:rPr>
          <w:lang w:val="es-ES"/>
        </w:rPr>
        <w:t xml:space="preserve"> </w:t>
      </w:r>
      <w:r w:rsidRPr="00A60F48">
        <w:rPr>
          <w:lang w:val="es-ES"/>
        </w:rPr>
        <w:t>del pre</w:t>
      </w:r>
      <w:r>
        <w:rPr>
          <w:lang w:val="es-ES"/>
        </w:rPr>
        <w:t xml:space="preserve">sidente del Grupo de Coordinación Hidrológica, que figura en el </w:t>
      </w:r>
      <w:r w:rsidRPr="00310D67">
        <w:rPr>
          <w:lang w:val="es-ES"/>
        </w:rPr>
        <w:t xml:space="preserve">documento </w:t>
      </w:r>
      <w:hyperlink r:id="rId22" w:history="1">
        <w:r w:rsidRPr="00310D67">
          <w:rPr>
            <w:rStyle w:val="Hyperlink"/>
            <w:lang w:val="es-ES"/>
          </w:rPr>
          <w:t>EC-76/INF.</w:t>
        </w:r>
        <w:r w:rsidR="00310D67" w:rsidRPr="00310D67">
          <w:rPr>
            <w:rStyle w:val="Hyperlink"/>
            <w:lang w:val="es-ES"/>
          </w:rPr>
          <w:t> </w:t>
        </w:r>
        <w:r w:rsidRPr="00310D67">
          <w:rPr>
            <w:rStyle w:val="Hyperlink"/>
            <w:lang w:val="es-ES"/>
          </w:rPr>
          <w:t>2.5(6)</w:t>
        </w:r>
      </w:hyperlink>
      <w:r w:rsidRPr="00310D67">
        <w:rPr>
          <w:lang w:val="es-ES"/>
        </w:rPr>
        <w:t xml:space="preserve">, </w:t>
      </w:r>
      <w:r w:rsidR="008725B0" w:rsidRPr="00310D67">
        <w:rPr>
          <w:lang w:val="es-ES"/>
        </w:rPr>
        <w:t>adoptar</w:t>
      </w:r>
      <w:r w:rsidR="008725B0" w:rsidRPr="008725B0">
        <w:rPr>
          <w:lang w:val="es-ES"/>
        </w:rPr>
        <w:t xml:space="preserve"> medidas respecto a las recomendaciones que figuran a </w:t>
      </w:r>
      <w:r w:rsidR="008725B0">
        <w:rPr>
          <w:lang w:val="es-ES"/>
        </w:rPr>
        <w:t>continuación</w:t>
      </w:r>
      <w:r>
        <w:rPr>
          <w:lang w:val="es-ES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EC23F4" w:rsidRPr="0085612E" w14:paraId="3CFAD56F" w14:textId="77777777" w:rsidTr="00366EAF">
        <w:tc>
          <w:tcPr>
            <w:tcW w:w="4549" w:type="dxa"/>
          </w:tcPr>
          <w:p w14:paraId="0E9E1DCC" w14:textId="3BBE3E6A" w:rsidR="00EC23F4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>
              <w:rPr>
                <w:lang w:val="es-ES"/>
              </w:rPr>
              <w:t xml:space="preserve">Recomendación 1 </w:t>
            </w:r>
            <w:r w:rsidR="00431D8D" w:rsidRPr="00826327">
              <w:rPr>
                <w:lang w:val="es-ES"/>
              </w:rPr>
              <w:t>—</w:t>
            </w:r>
            <w:r w:rsidR="00B85208" w:rsidRPr="00826327">
              <w:rPr>
                <w:lang w:val="es-ES"/>
              </w:rPr>
              <w:t xml:space="preserve"> </w:t>
            </w:r>
            <w:r w:rsidR="00826327" w:rsidRPr="00826327">
              <w:rPr>
                <w:lang w:val="es-ES"/>
              </w:rPr>
              <w:t>C</w:t>
            </w:r>
            <w:r w:rsidR="00826327">
              <w:rPr>
                <w:lang w:val="es-ES"/>
              </w:rPr>
              <w:t>orrespondencia de las</w:t>
            </w:r>
            <w:r w:rsidR="00A03C8C">
              <w:rPr>
                <w:lang w:val="es-ES"/>
              </w:rPr>
              <w:t xml:space="preserve"> actividades propuestas </w:t>
            </w:r>
            <w:r w:rsidR="00826327">
              <w:rPr>
                <w:lang w:val="es-ES"/>
              </w:rPr>
              <w:t>por</w:t>
            </w:r>
            <w:r>
              <w:rPr>
                <w:lang w:val="es-ES"/>
              </w:rPr>
              <w:t xml:space="preserve"> la Coalición para el Agua y el Clima </w:t>
            </w:r>
            <w:r w:rsidR="00826327">
              <w:rPr>
                <w:lang w:val="es-ES"/>
              </w:rPr>
              <w:t>y</w:t>
            </w:r>
            <w:r w:rsidR="00B85208">
              <w:rPr>
                <w:lang w:val="es-ES"/>
              </w:rPr>
              <w:t xml:space="preserve"> el</w:t>
            </w:r>
            <w:r>
              <w:rPr>
                <w:lang w:val="es-ES"/>
              </w:rPr>
              <w:t xml:space="preserve"> Plan de Acción sobre Hidrología de la OMM, y respuesta de </w:t>
            </w:r>
            <w:r w:rsidRPr="00826327">
              <w:rPr>
                <w:lang w:val="es-ES"/>
              </w:rPr>
              <w:t xml:space="preserve">la OMM a </w:t>
            </w:r>
            <w:r w:rsidR="00936FF2" w:rsidRPr="00826327">
              <w:rPr>
                <w:lang w:val="es-ES"/>
              </w:rPr>
              <w:t>otr</w:t>
            </w:r>
            <w:r w:rsidR="00826327" w:rsidRPr="00826327">
              <w:rPr>
                <w:lang w:val="es-ES"/>
              </w:rPr>
              <w:t xml:space="preserve">as </w:t>
            </w:r>
            <w:r w:rsidR="00A03C8C" w:rsidRPr="00826327">
              <w:rPr>
                <w:lang w:val="es-ES"/>
              </w:rPr>
              <w:t>exigencias</w:t>
            </w:r>
            <w:r w:rsidR="00936FF2" w:rsidRPr="00826327">
              <w:rPr>
                <w:lang w:val="es-ES"/>
              </w:rPr>
              <w:t xml:space="preserve"> de</w:t>
            </w:r>
            <w:r w:rsidR="00826327" w:rsidRPr="00826327">
              <w:rPr>
                <w:lang w:val="es-ES"/>
              </w:rPr>
              <w:t xml:space="preserve"> las peticiones de</w:t>
            </w:r>
            <w:r w:rsidRPr="00826327">
              <w:rPr>
                <w:lang w:val="es-ES"/>
              </w:rPr>
              <w:t xml:space="preserve"> los Líderes para el Agua y el Clima</w:t>
            </w:r>
          </w:p>
        </w:tc>
        <w:tc>
          <w:tcPr>
            <w:tcW w:w="4513" w:type="dxa"/>
          </w:tcPr>
          <w:p w14:paraId="62E9C36B" w14:textId="4B40953F" w:rsidR="00EC23F4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 w:rsidRPr="00826327">
              <w:rPr>
                <w:lang w:val="es-ES"/>
              </w:rPr>
              <w:t xml:space="preserve">Aceptada, </w:t>
            </w:r>
            <w:r w:rsidR="00A03C8C" w:rsidRPr="00826327">
              <w:rPr>
                <w:lang w:val="es-ES"/>
              </w:rPr>
              <w:t>notando</w:t>
            </w:r>
            <w:r w:rsidRPr="00826327">
              <w:rPr>
                <w:lang w:val="es-ES"/>
              </w:rPr>
              <w:t xml:space="preserve"> la posición similar expresada por la SERCOM</w:t>
            </w:r>
            <w:r>
              <w:rPr>
                <w:lang w:val="es-ES"/>
              </w:rPr>
              <w:t xml:space="preserve"> en su segunda reunión mediante </w:t>
            </w:r>
            <w:r w:rsidR="00310D67" w:rsidRPr="00D40202">
              <w:rPr>
                <w:lang w:val="es-ES"/>
              </w:rPr>
              <w:t>la</w:t>
            </w:r>
            <w:r w:rsidRPr="00D40202">
              <w:rPr>
                <w:lang w:val="es-ES"/>
              </w:rPr>
              <w:t xml:space="preserve"> </w:t>
            </w:r>
            <w:hyperlink r:id="rId23" w:history="1">
              <w:r w:rsidRPr="00D40202">
                <w:rPr>
                  <w:rStyle w:val="Hyperlink"/>
                  <w:lang w:val="es-ES"/>
                </w:rPr>
                <w:t>Decisión</w:t>
              </w:r>
              <w:r w:rsidR="00936FF2" w:rsidRPr="00D40202">
                <w:rPr>
                  <w:rStyle w:val="Hyperlink"/>
                  <w:lang w:val="es-ES"/>
                </w:rPr>
                <w:t> </w:t>
              </w:r>
              <w:r w:rsidRPr="00D40202">
                <w:rPr>
                  <w:rStyle w:val="Hyperlink"/>
                  <w:lang w:val="es-ES"/>
                </w:rPr>
                <w:t>9.2/2 (SERCOM-2)</w:t>
              </w:r>
            </w:hyperlink>
            <w:r>
              <w:rPr>
                <w:lang w:val="es-ES"/>
              </w:rPr>
              <w:t xml:space="preserve"> </w:t>
            </w:r>
            <w:r w:rsidR="00204C5F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Examen por parte de la Comisión de Aplicaciones y Servicios Meteorológicos, Climáticos, Hidrológicos y Medioambientales Conexos del repertorio de actividades de la Coalición para el Agua y el Clima </w:t>
            </w:r>
          </w:p>
        </w:tc>
      </w:tr>
      <w:tr w:rsidR="00EC23F4" w:rsidRPr="0085612E" w14:paraId="4576F741" w14:textId="77777777" w:rsidTr="00366EAF">
        <w:tc>
          <w:tcPr>
            <w:tcW w:w="4549" w:type="dxa"/>
          </w:tcPr>
          <w:p w14:paraId="7DDADCEF" w14:textId="135A3F6B" w:rsidR="00EC23F4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>
              <w:rPr>
                <w:lang w:val="es-ES"/>
              </w:rPr>
              <w:t xml:space="preserve">Recomendación 2 </w:t>
            </w:r>
            <w:r w:rsidR="00431D8D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Asignación de responsabilidades para la aplicación de la Visión y Estrategia de la OMM para la Hidrología y </w:t>
            </w:r>
            <w:r w:rsidR="00826327">
              <w:rPr>
                <w:lang w:val="es-ES"/>
              </w:rPr>
              <w:t xml:space="preserve">de </w:t>
            </w:r>
            <w:r>
              <w:rPr>
                <w:lang w:val="es-ES"/>
              </w:rPr>
              <w:t>su Plan de Acción conexo</w:t>
            </w:r>
            <w:r w:rsidR="00A03C8C">
              <w:rPr>
                <w:lang w:val="es-ES"/>
              </w:rPr>
              <w:t xml:space="preserve"> (</w:t>
            </w:r>
            <w:r>
              <w:rPr>
                <w:lang w:val="es-ES"/>
              </w:rPr>
              <w:t>2022-2023</w:t>
            </w:r>
            <w:r w:rsidR="00A03C8C">
              <w:rPr>
                <w:lang w:val="es-ES"/>
              </w:rPr>
              <w:t>)</w:t>
            </w:r>
            <w:r>
              <w:rPr>
                <w:lang w:val="es-ES"/>
              </w:rPr>
              <w:t xml:space="preserve"> a otros órganos de la OMM (comisiones técnicas, Junta de Investigación, Grupo de Expertos del Consejo Ejecutivo sobre Desarrollo de Capacidad, asociaciones regionales, Secretaría), </w:t>
            </w:r>
            <w:r w:rsidR="00826327">
              <w:rPr>
                <w:lang w:val="es-ES"/>
              </w:rPr>
              <w:t>y designación de expertos en hidrología</w:t>
            </w:r>
            <w:r>
              <w:rPr>
                <w:lang w:val="es-ES"/>
              </w:rPr>
              <w:t xml:space="preserve"> </w:t>
            </w:r>
            <w:r w:rsidR="00C74217">
              <w:rPr>
                <w:lang w:val="es-ES"/>
              </w:rPr>
              <w:t>para integrar</w:t>
            </w:r>
            <w:r>
              <w:rPr>
                <w:lang w:val="es-ES"/>
              </w:rPr>
              <w:t xml:space="preserve"> los órganos subsidiarios de las comisiones técnicas, la Junta de Investigación y el Consejo Ejecutivo </w:t>
            </w:r>
            <w:r w:rsidR="00826327">
              <w:rPr>
                <w:lang w:val="es-ES"/>
              </w:rPr>
              <w:t>con miras a</w:t>
            </w:r>
            <w:r>
              <w:rPr>
                <w:lang w:val="es-ES"/>
              </w:rPr>
              <w:t xml:space="preserve"> la aplicación de la </w:t>
            </w:r>
            <w:hyperlink r:id="rId24" w:anchor="page=42" w:history="1">
              <w:r w:rsidRPr="007D15D8">
                <w:rPr>
                  <w:rStyle w:val="Hyperlink"/>
                  <w:lang w:val="es-ES"/>
                </w:rPr>
                <w:t>Resolución 4 (Cg-Ext(2021))</w:t>
              </w:r>
            </w:hyperlink>
            <w:r>
              <w:rPr>
                <w:lang w:val="es-ES"/>
              </w:rPr>
              <w:t xml:space="preserve"> </w:t>
            </w:r>
            <w:r w:rsidR="00204C5F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Visión y Estrategia de Hidrología de la OMM y Plan de Acción conexo</w:t>
            </w:r>
          </w:p>
        </w:tc>
        <w:tc>
          <w:tcPr>
            <w:tcW w:w="4513" w:type="dxa"/>
          </w:tcPr>
          <w:p w14:paraId="505AC651" w14:textId="14679833" w:rsidR="00EC23F4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 w:rsidRPr="00C74217">
              <w:rPr>
                <w:lang w:val="es-ES"/>
              </w:rPr>
              <w:t>Aceptada y</w:t>
            </w:r>
            <w:r>
              <w:rPr>
                <w:lang w:val="es-ES"/>
              </w:rPr>
              <w:t xml:space="preserve"> remitida a las comisiones técnicas, las asociaciones regionales, la Junta de Investigación, el Grupo de Expertos del Consejo Ejecutivo sobre Desarrollo de Capacidad y la Secretaría para que adopten las medidas oportunas</w:t>
            </w:r>
          </w:p>
        </w:tc>
      </w:tr>
      <w:tr w:rsidR="00EC23F4" w:rsidRPr="0085612E" w14:paraId="420B1472" w14:textId="77777777" w:rsidTr="00366EAF">
        <w:tc>
          <w:tcPr>
            <w:tcW w:w="4549" w:type="dxa"/>
          </w:tcPr>
          <w:p w14:paraId="7FF84CAE" w14:textId="42C89E58" w:rsidR="00EC23F4" w:rsidRPr="006F0546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Recomendación 3 </w:t>
            </w:r>
            <w:r w:rsidR="00431D8D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Propuesta de enmienda al anexo</w:t>
            </w:r>
            <w:r w:rsidR="00C74217">
              <w:rPr>
                <w:lang w:val="es-ES"/>
              </w:rPr>
              <w:t> </w:t>
            </w:r>
            <w:r>
              <w:rPr>
                <w:lang w:val="es-ES"/>
              </w:rPr>
              <w:t xml:space="preserve">1 de la </w:t>
            </w:r>
            <w:hyperlink r:id="rId25" w:anchor="page=164" w:history="1">
              <w:r w:rsidRPr="006F0546">
                <w:rPr>
                  <w:rStyle w:val="Hyperlink"/>
                  <w:lang w:val="es-ES"/>
                </w:rPr>
                <w:t>Resolución</w:t>
              </w:r>
              <w:r w:rsidR="007D15D8" w:rsidRPr="006F0546">
                <w:rPr>
                  <w:rStyle w:val="Hyperlink"/>
                  <w:lang w:val="es-ES"/>
                </w:rPr>
                <w:t> </w:t>
              </w:r>
              <w:r w:rsidRPr="006F0546">
                <w:rPr>
                  <w:rStyle w:val="Hyperlink"/>
                  <w:lang w:val="es-ES"/>
                </w:rPr>
                <w:t>5 Cg-Ext(2021)</w:t>
              </w:r>
            </w:hyperlink>
            <w:r>
              <w:rPr>
                <w:lang w:val="es-ES"/>
              </w:rPr>
              <w:t xml:space="preserve"> </w:t>
            </w:r>
            <w:r w:rsidR="00204C5F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</w:t>
            </w:r>
            <w:r w:rsidR="001F73F7" w:rsidRPr="001F73F7">
              <w:rPr>
                <w:lang w:val="es-ES"/>
              </w:rPr>
              <w:t>Ejecución avanzada de los elementos del Plan de Acción de Hidrología</w:t>
            </w:r>
            <w:r w:rsidR="006F0546">
              <w:rPr>
                <w:lang w:val="es-ES"/>
              </w:rPr>
              <w:t xml:space="preserve"> (</w:t>
            </w:r>
            <w:r w:rsidR="006F0546" w:rsidRPr="006F0546">
              <w:rPr>
                <w:lang w:val="es-ES"/>
              </w:rPr>
              <w:t>Estrategia de Investigación en Hidrología de la Organización Meteorológica Mundial (2022-2030): Prioridades de investigación en hidrología operativa</w:t>
            </w:r>
            <w:r w:rsidR="006F0546">
              <w:rPr>
                <w:lang w:val="es-ES"/>
              </w:rPr>
              <w:t>)</w:t>
            </w:r>
          </w:p>
        </w:tc>
        <w:tc>
          <w:tcPr>
            <w:tcW w:w="4513" w:type="dxa"/>
          </w:tcPr>
          <w:p w14:paraId="73A2A7C5" w14:textId="34D31270" w:rsidR="00EC23F4" w:rsidRDefault="00431D8D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>
              <w:rPr>
                <w:lang w:val="es-ES"/>
              </w:rPr>
              <w:t>A</w:t>
            </w:r>
            <w:r w:rsidR="00EC23F4">
              <w:rPr>
                <w:lang w:val="es-ES"/>
              </w:rPr>
              <w:t>ceptada y remitida a la Junta de Investigación</w:t>
            </w:r>
          </w:p>
        </w:tc>
      </w:tr>
      <w:tr w:rsidR="00EC23F4" w:rsidRPr="0085612E" w14:paraId="5C7614B1" w14:textId="77777777" w:rsidTr="00366EAF">
        <w:tc>
          <w:tcPr>
            <w:tcW w:w="4549" w:type="dxa"/>
          </w:tcPr>
          <w:p w14:paraId="3E1C3833" w14:textId="0C6525FE" w:rsidR="00EC23F4" w:rsidRDefault="00EC23F4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>
              <w:rPr>
                <w:lang w:val="es-ES"/>
              </w:rPr>
              <w:t xml:space="preserve">Recomendación 4 </w:t>
            </w:r>
            <w:r w:rsidR="00431D8D" w:rsidRPr="001A5334">
              <w:rPr>
                <w:lang w:val="es-ES"/>
              </w:rPr>
              <w:t>—</w:t>
            </w:r>
            <w:r>
              <w:rPr>
                <w:lang w:val="es-ES"/>
              </w:rPr>
              <w:t xml:space="preserve"> </w:t>
            </w:r>
            <w:r w:rsidR="00C74217">
              <w:rPr>
                <w:lang w:val="es-ES"/>
              </w:rPr>
              <w:t>Solicitar</w:t>
            </w:r>
            <w:r>
              <w:rPr>
                <w:lang w:val="es-ES"/>
              </w:rPr>
              <w:t xml:space="preserve"> en el plan de trabajo provisional del Decimonoveno Congreso Meteorológico Mundial </w:t>
            </w:r>
            <w:r w:rsidR="00C74217">
              <w:rPr>
                <w:lang w:val="es-ES"/>
              </w:rPr>
              <w:t>q</w:t>
            </w:r>
            <w:r>
              <w:rPr>
                <w:lang w:val="es-ES"/>
              </w:rPr>
              <w:t xml:space="preserve">ue la Asamblea sobre Hidrología se reúna durante tres días, </w:t>
            </w:r>
            <w:r w:rsidR="00682B87">
              <w:rPr>
                <w:lang w:val="es-ES"/>
              </w:rPr>
              <w:t xml:space="preserve">de los cuales </w:t>
            </w:r>
            <w:r>
              <w:rPr>
                <w:lang w:val="es-ES"/>
              </w:rPr>
              <w:t xml:space="preserve">el tercero </w:t>
            </w:r>
            <w:r w:rsidR="00682B87">
              <w:rPr>
                <w:lang w:val="es-ES"/>
              </w:rPr>
              <w:t>en el marco de una sesión plenaria</w:t>
            </w:r>
            <w:r>
              <w:rPr>
                <w:lang w:val="es-ES"/>
              </w:rPr>
              <w:t xml:space="preserve"> del Congreso.</w:t>
            </w:r>
          </w:p>
        </w:tc>
        <w:tc>
          <w:tcPr>
            <w:tcW w:w="4513" w:type="dxa"/>
          </w:tcPr>
          <w:p w14:paraId="5BA4CDC0" w14:textId="1AF8E39F" w:rsidR="00EC23F4" w:rsidRDefault="00431D8D" w:rsidP="00366EAF">
            <w:pPr>
              <w:pStyle w:val="WMOBodyText"/>
              <w:tabs>
                <w:tab w:val="left" w:pos="567"/>
              </w:tabs>
              <w:spacing w:before="120" w:after="120"/>
              <w:jc w:val="left"/>
            </w:pPr>
            <w:r>
              <w:rPr>
                <w:lang w:val="es-ES"/>
              </w:rPr>
              <w:t>A</w:t>
            </w:r>
            <w:r w:rsidR="00EC23F4">
              <w:rPr>
                <w:lang w:val="es-ES"/>
              </w:rPr>
              <w:t>ceptad</w:t>
            </w:r>
            <w:r w:rsidR="00C74217">
              <w:rPr>
                <w:lang w:val="es-ES"/>
              </w:rPr>
              <w:t>a una reunión de</w:t>
            </w:r>
            <w:r w:rsidR="00EC23F4">
              <w:rPr>
                <w:lang w:val="es-ES"/>
              </w:rPr>
              <w:t xml:space="preserve"> dos días de la Asamblea </w:t>
            </w:r>
            <w:r w:rsidR="00EC23F4" w:rsidRPr="00682B87">
              <w:rPr>
                <w:lang w:val="es-ES"/>
              </w:rPr>
              <w:t xml:space="preserve">sobre Hidrología </w:t>
            </w:r>
            <w:r w:rsidR="00C74217" w:rsidRPr="00682B87">
              <w:rPr>
                <w:lang w:val="es-ES"/>
              </w:rPr>
              <w:t xml:space="preserve">coincidiendo con </w:t>
            </w:r>
            <w:r w:rsidR="00682B87" w:rsidRPr="00682B87">
              <w:rPr>
                <w:lang w:val="es-ES"/>
              </w:rPr>
              <w:t>el pleno</w:t>
            </w:r>
            <w:r w:rsidR="004843A7" w:rsidRPr="00682B87">
              <w:rPr>
                <w:lang w:val="es-ES"/>
              </w:rPr>
              <w:t xml:space="preserve"> </w:t>
            </w:r>
            <w:r w:rsidR="00EC23F4" w:rsidRPr="00682B87">
              <w:rPr>
                <w:lang w:val="es-ES"/>
              </w:rPr>
              <w:t xml:space="preserve">del Congreso y </w:t>
            </w:r>
            <w:r w:rsidR="00682B87" w:rsidRPr="00682B87">
              <w:rPr>
                <w:lang w:val="es-ES"/>
              </w:rPr>
              <w:t>se incluye un examen</w:t>
            </w:r>
            <w:r w:rsidR="00EC23F4" w:rsidRPr="00682B87">
              <w:rPr>
                <w:lang w:val="es-ES"/>
              </w:rPr>
              <w:t xml:space="preserve"> </w:t>
            </w:r>
            <w:r w:rsidR="00682B87" w:rsidRPr="00682B87">
              <w:rPr>
                <w:lang w:val="es-ES"/>
              </w:rPr>
              <w:t xml:space="preserve">de duración adecuada </w:t>
            </w:r>
            <w:r w:rsidR="00EC23F4" w:rsidRPr="00682B87">
              <w:rPr>
                <w:lang w:val="es-ES"/>
              </w:rPr>
              <w:t xml:space="preserve">de las recomendaciones de </w:t>
            </w:r>
            <w:r w:rsidR="004843A7" w:rsidRPr="00682B87">
              <w:rPr>
                <w:lang w:val="es-ES"/>
              </w:rPr>
              <w:t>la Asamblea</w:t>
            </w:r>
            <w:r w:rsidR="00EC23F4" w:rsidRPr="00682B87">
              <w:rPr>
                <w:lang w:val="es-ES"/>
              </w:rPr>
              <w:t xml:space="preserve"> en los debates</w:t>
            </w:r>
            <w:r w:rsidR="00682B87" w:rsidRPr="00682B87">
              <w:rPr>
                <w:lang w:val="es-ES"/>
              </w:rPr>
              <w:t xml:space="preserve"> plenarios</w:t>
            </w:r>
            <w:r w:rsidR="00EC23F4" w:rsidRPr="00682B87">
              <w:rPr>
                <w:lang w:val="es-ES"/>
              </w:rPr>
              <w:t xml:space="preserve">. </w:t>
            </w:r>
            <w:r w:rsidR="00682B87">
              <w:rPr>
                <w:lang w:val="es-ES"/>
              </w:rPr>
              <w:t>Se remite</w:t>
            </w:r>
            <w:r w:rsidR="00EC23F4">
              <w:rPr>
                <w:lang w:val="es-ES"/>
              </w:rPr>
              <w:t xml:space="preserve"> al Presidente y al Secretario General </w:t>
            </w:r>
            <w:r w:rsidR="00682B87">
              <w:rPr>
                <w:lang w:val="es-ES"/>
              </w:rPr>
              <w:t>para que</w:t>
            </w:r>
            <w:r w:rsidR="00EC23F4">
              <w:rPr>
                <w:lang w:val="es-ES"/>
              </w:rPr>
              <w:t xml:space="preserve"> </w:t>
            </w:r>
            <w:r w:rsidR="004843A7">
              <w:rPr>
                <w:lang w:val="es-ES"/>
              </w:rPr>
              <w:t>adopten</w:t>
            </w:r>
            <w:r w:rsidR="00EC23F4">
              <w:rPr>
                <w:lang w:val="es-ES"/>
              </w:rPr>
              <w:t xml:space="preserve"> </w:t>
            </w:r>
            <w:r w:rsidR="00D40202">
              <w:rPr>
                <w:lang w:val="es-ES"/>
              </w:rPr>
              <w:t xml:space="preserve">las </w:t>
            </w:r>
            <w:r w:rsidR="00EC23F4">
              <w:rPr>
                <w:lang w:val="es-ES"/>
              </w:rPr>
              <w:t xml:space="preserve">medidas </w:t>
            </w:r>
            <w:r w:rsidR="00D40202">
              <w:rPr>
                <w:lang w:val="es-ES"/>
              </w:rPr>
              <w:t xml:space="preserve">oportunas </w:t>
            </w:r>
            <w:r w:rsidR="00EE0C87">
              <w:rPr>
                <w:lang w:val="es-ES"/>
              </w:rPr>
              <w:t>de conformidad con</w:t>
            </w:r>
            <w:r w:rsidR="00EC23F4">
              <w:rPr>
                <w:lang w:val="es-ES"/>
              </w:rPr>
              <w:t xml:space="preserve"> la</w:t>
            </w:r>
            <w:r w:rsidR="00D40202">
              <w:rPr>
                <w:lang w:val="es-ES"/>
              </w:rPr>
              <w:t xml:space="preserve"> </w:t>
            </w:r>
            <w:hyperlink r:id="rId26" w:anchor="page=159" w:history="1">
              <w:r w:rsidR="00EC23F4" w:rsidRPr="00C12F26">
                <w:rPr>
                  <w:rStyle w:val="Hyperlink"/>
                  <w:lang w:val="es-ES"/>
                </w:rPr>
                <w:t>Decisión</w:t>
              </w:r>
              <w:r w:rsidR="004843A7" w:rsidRPr="00C12F26">
                <w:rPr>
                  <w:rStyle w:val="Hyperlink"/>
                  <w:lang w:val="es-ES"/>
                </w:rPr>
                <w:t> </w:t>
              </w:r>
              <w:r w:rsidR="00EC23F4" w:rsidRPr="00C12F26">
                <w:rPr>
                  <w:rStyle w:val="Hyperlink"/>
                  <w:lang w:val="es-ES"/>
                </w:rPr>
                <w:t>23</w:t>
              </w:r>
              <w:r w:rsidR="004843A7" w:rsidRPr="00C12F26">
                <w:rPr>
                  <w:rStyle w:val="Hyperlink"/>
                  <w:lang w:val="es-ES"/>
                </w:rPr>
                <w:t> </w:t>
              </w:r>
              <w:r w:rsidR="00EC23F4" w:rsidRPr="00C12F26">
                <w:rPr>
                  <w:rStyle w:val="Hyperlink"/>
                  <w:lang w:val="es-ES"/>
                </w:rPr>
                <w:t>(EC</w:t>
              </w:r>
              <w:r w:rsidR="004843A7" w:rsidRPr="00C12F26">
                <w:rPr>
                  <w:rStyle w:val="Hyperlink"/>
                  <w:lang w:val="es-ES"/>
                </w:rPr>
                <w:noBreakHyphen/>
              </w:r>
              <w:r w:rsidR="00EC23F4" w:rsidRPr="00C12F26">
                <w:rPr>
                  <w:rStyle w:val="Hyperlink"/>
                  <w:lang w:val="es-ES"/>
                </w:rPr>
                <w:t>75)</w:t>
              </w:r>
            </w:hyperlink>
            <w:r w:rsidR="004843A7">
              <w:rPr>
                <w:lang w:val="es-ES"/>
              </w:rPr>
              <w:t> </w:t>
            </w:r>
            <w:r w:rsidR="004843A7" w:rsidRPr="001A5334">
              <w:rPr>
                <w:lang w:val="es-ES"/>
              </w:rPr>
              <w:t>—</w:t>
            </w:r>
            <w:r w:rsidR="004843A7">
              <w:rPr>
                <w:lang w:val="es-ES"/>
              </w:rPr>
              <w:t> </w:t>
            </w:r>
            <w:r w:rsidR="00EC23F4">
              <w:rPr>
                <w:lang w:val="es-ES"/>
              </w:rPr>
              <w:t>Preparativos para la celebración del Decimonoveno Congreso Meteorológico Mundial</w:t>
            </w:r>
          </w:p>
        </w:tc>
      </w:tr>
    </w:tbl>
    <w:p w14:paraId="3904B141" w14:textId="55150F69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lastRenderedPageBreak/>
        <w:t>6)</w:t>
      </w:r>
      <w:r>
        <w:rPr>
          <w:lang w:val="es-ES"/>
        </w:rPr>
        <w:tab/>
        <w:t>examinar, en el marco de los puntos del orden del día pertinentes, las recomendaciones formuladas durante las reuniones de otros órganos establecidos por el Congreso Meteorológico Mundial y el Consejo Ejecutivo;</w:t>
      </w:r>
      <w:r w:rsidR="0085612E">
        <w:rPr>
          <w:lang w:val="es-ES"/>
        </w:rPr>
        <w:t xml:space="preserve"> </w:t>
      </w:r>
    </w:p>
    <w:p w14:paraId="0410D41F" w14:textId="382F6D3A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t>7)</w:t>
      </w:r>
      <w:r>
        <w:rPr>
          <w:lang w:val="es-ES"/>
        </w:rPr>
        <w:tab/>
        <w:t xml:space="preserve">expresar aprecio a los Miembros, las autoridades, los presidentes de las asociaciones regionales, los presidentes de las comisiones técnicas, los presidentes de los demás órganos y el Secretario General por su contribución decisiva al desempeño de la misión de la </w:t>
      </w:r>
      <w:r w:rsidRPr="00D40202">
        <w:rPr>
          <w:lang w:val="es-ES"/>
        </w:rPr>
        <w:t xml:space="preserve">Organización y </w:t>
      </w:r>
      <w:r w:rsidR="00C12F26" w:rsidRPr="00D40202">
        <w:rPr>
          <w:lang w:val="es-ES"/>
        </w:rPr>
        <w:t>por</w:t>
      </w:r>
      <w:r w:rsidR="00DE4558" w:rsidRPr="00D40202">
        <w:rPr>
          <w:lang w:val="es-ES"/>
        </w:rPr>
        <w:t xml:space="preserve"> </w:t>
      </w:r>
      <w:r w:rsidRPr="00D40202">
        <w:rPr>
          <w:lang w:val="es-ES"/>
        </w:rPr>
        <w:t>darle mayor visibilidad en</w:t>
      </w:r>
      <w:r>
        <w:rPr>
          <w:lang w:val="es-ES"/>
        </w:rPr>
        <w:t xml:space="preserve"> el sistema de las Naciones Unidas y </w:t>
      </w:r>
      <w:r w:rsidR="00D40202">
        <w:rPr>
          <w:lang w:val="es-ES"/>
        </w:rPr>
        <w:t>en todo el mundo</w:t>
      </w:r>
      <w:r>
        <w:rPr>
          <w:lang w:val="es-ES"/>
        </w:rPr>
        <w:t>;</w:t>
      </w:r>
    </w:p>
    <w:p w14:paraId="14A66402" w14:textId="41CF0A48" w:rsidR="00EC23F4" w:rsidRDefault="00EC23F4" w:rsidP="00EC23F4">
      <w:pPr>
        <w:pStyle w:val="WMOBodyText"/>
        <w:tabs>
          <w:tab w:val="left" w:pos="567"/>
        </w:tabs>
        <w:ind w:left="567" w:hanging="567"/>
      </w:pPr>
      <w:r>
        <w:rPr>
          <w:lang w:val="es-ES"/>
        </w:rPr>
        <w:t>8)</w:t>
      </w:r>
      <w:r>
        <w:rPr>
          <w:lang w:val="es-ES"/>
        </w:rPr>
        <w:tab/>
        <w:t>notar que los informes se incluirán en el informe final de la reunión.</w:t>
      </w:r>
    </w:p>
    <w:p w14:paraId="4E5763C9" w14:textId="4C31D76A" w:rsidR="00EC23F4" w:rsidRDefault="00EC23F4" w:rsidP="00EC23F4">
      <w:pPr>
        <w:pStyle w:val="WMOBodyText"/>
      </w:pPr>
      <w:r>
        <w:rPr>
          <w:lang w:val="es-ES"/>
        </w:rPr>
        <w:t xml:space="preserve">Véanse los documentos </w:t>
      </w:r>
      <w:hyperlink r:id="rId27" w:history="1">
        <w:r w:rsidR="00C12F26" w:rsidRPr="00624E39">
          <w:rPr>
            <w:rStyle w:val="Hyperlink"/>
          </w:rPr>
          <w:t>EC-76/INF. 2.1</w:t>
        </w:r>
      </w:hyperlink>
      <w:r w:rsidR="00C12F26">
        <w:t xml:space="preserve">, </w:t>
      </w:r>
      <w:hyperlink r:id="rId28" w:history="1">
        <w:r w:rsidR="00C12F26" w:rsidRPr="00624E39">
          <w:rPr>
            <w:rStyle w:val="Hyperlink"/>
          </w:rPr>
          <w:t>EC-76/INF. 2.2</w:t>
        </w:r>
      </w:hyperlink>
      <w:r w:rsidR="00C12F26">
        <w:t xml:space="preserve">, </w:t>
      </w:r>
      <w:hyperlink r:id="rId29" w:history="1">
        <w:r w:rsidR="00C12F26" w:rsidRPr="00624E39">
          <w:rPr>
            <w:rStyle w:val="Hyperlink"/>
          </w:rPr>
          <w:t>EC-76/INF. 2.3</w:t>
        </w:r>
      </w:hyperlink>
      <w:r w:rsidR="00C12F26">
        <w:t xml:space="preserve">, </w:t>
      </w:r>
      <w:hyperlink r:id="rId30" w:history="1">
        <w:r w:rsidR="00C12F26" w:rsidRPr="00624E39">
          <w:rPr>
            <w:rStyle w:val="Hyperlink"/>
          </w:rPr>
          <w:t>EC-76/INF. 2.4(1)</w:t>
        </w:r>
      </w:hyperlink>
      <w:r w:rsidR="00C12F26">
        <w:t xml:space="preserve">, </w:t>
      </w:r>
      <w:hyperlink r:id="rId31" w:history="1">
        <w:r w:rsidR="00C12F26" w:rsidRPr="00624E39">
          <w:rPr>
            <w:rStyle w:val="Hyperlink"/>
          </w:rPr>
          <w:t>EC-76/INF. 2.4(2)</w:t>
        </w:r>
      </w:hyperlink>
      <w:r w:rsidR="00C12F26">
        <w:t xml:space="preserve">, </w:t>
      </w:r>
      <w:hyperlink r:id="rId32" w:history="1">
        <w:r w:rsidR="00C12F26" w:rsidRPr="00624E39">
          <w:rPr>
            <w:rStyle w:val="Hyperlink"/>
          </w:rPr>
          <w:t>EC-76/INF. 2.4(3)</w:t>
        </w:r>
      </w:hyperlink>
      <w:r w:rsidR="00C12F26">
        <w:t xml:space="preserve">, </w:t>
      </w:r>
      <w:hyperlink r:id="rId33" w:history="1">
        <w:r w:rsidR="00C12F26" w:rsidRPr="00624E39">
          <w:rPr>
            <w:rStyle w:val="Hyperlink"/>
          </w:rPr>
          <w:t>EC-76/INF. 2.5(1</w:t>
        </w:r>
        <w:r w:rsidR="00C12F26">
          <w:rPr>
            <w:rStyle w:val="Hyperlink"/>
          </w:rPr>
          <w:t>–2</w:t>
        </w:r>
        <w:r w:rsidR="00C12F26" w:rsidRPr="00624E39">
          <w:rPr>
            <w:rStyle w:val="Hyperlink"/>
          </w:rPr>
          <w:t>)</w:t>
        </w:r>
      </w:hyperlink>
      <w:r w:rsidR="00C12F26">
        <w:t xml:space="preserve">, </w:t>
      </w:r>
      <w:hyperlink r:id="rId34" w:history="1">
        <w:r w:rsidR="00C12F26" w:rsidRPr="00624E39">
          <w:rPr>
            <w:rStyle w:val="Hyperlink"/>
          </w:rPr>
          <w:t>EC-76/INF. 2.5(3)</w:t>
        </w:r>
      </w:hyperlink>
      <w:r w:rsidR="00C12F26">
        <w:t xml:space="preserve">, </w:t>
      </w:r>
      <w:hyperlink r:id="rId35" w:history="1">
        <w:r w:rsidR="00C12F26" w:rsidRPr="00624E39">
          <w:rPr>
            <w:rStyle w:val="Hyperlink"/>
          </w:rPr>
          <w:t>EC-76/INF. 2.5(4)</w:t>
        </w:r>
      </w:hyperlink>
      <w:r w:rsidR="00C12F26">
        <w:t xml:space="preserve">, </w:t>
      </w:r>
      <w:hyperlink r:id="rId36" w:history="1">
        <w:r w:rsidR="00C12F26" w:rsidRPr="00624E39">
          <w:rPr>
            <w:rStyle w:val="Hyperlink"/>
          </w:rPr>
          <w:t>EC-76/INF. 2.5(5)</w:t>
        </w:r>
      </w:hyperlink>
      <w:r w:rsidR="00C12F26">
        <w:t xml:space="preserve">, </w:t>
      </w:r>
      <w:hyperlink r:id="rId37" w:history="1">
        <w:r w:rsidR="00C12F26" w:rsidRPr="00624E39">
          <w:rPr>
            <w:rStyle w:val="Hyperlink"/>
          </w:rPr>
          <w:t>EC-76/INF. 2.5(6)</w:t>
        </w:r>
      </w:hyperlink>
      <w:r w:rsidR="00C12F26">
        <w:t xml:space="preserve">, </w:t>
      </w:r>
      <w:hyperlink r:id="rId38" w:history="1">
        <w:r w:rsidR="00C12F26" w:rsidRPr="00624E39">
          <w:rPr>
            <w:rStyle w:val="Hyperlink"/>
          </w:rPr>
          <w:t>EC-76/INF. 2.5(7)</w:t>
        </w:r>
      </w:hyperlink>
      <w:r w:rsidR="00C12F26">
        <w:t xml:space="preserve">, </w:t>
      </w:r>
      <w:hyperlink r:id="rId39" w:history="1">
        <w:r w:rsidR="00C12F26" w:rsidRPr="00624E39">
          <w:rPr>
            <w:rStyle w:val="Hyperlink"/>
          </w:rPr>
          <w:t>EC-76/INF. 2.5(8)</w:t>
        </w:r>
      </w:hyperlink>
      <w:r w:rsidR="00C12F26">
        <w:t xml:space="preserve">, </w:t>
      </w:r>
      <w:hyperlink r:id="rId40" w:history="1">
        <w:r w:rsidR="00C12F26" w:rsidRPr="00624E39">
          <w:rPr>
            <w:rStyle w:val="Hyperlink"/>
          </w:rPr>
          <w:t>EC-76/INF. 2.5(9)</w:t>
        </w:r>
      </w:hyperlink>
      <w:r w:rsidR="00C12F26">
        <w:t xml:space="preserve">, </w:t>
      </w:r>
      <w:hyperlink r:id="rId41" w:history="1">
        <w:r w:rsidR="00C12F26" w:rsidRPr="00624E39">
          <w:rPr>
            <w:rStyle w:val="Hyperlink"/>
          </w:rPr>
          <w:t>EC76/INF. 2.5(10)</w:t>
        </w:r>
      </w:hyperlink>
      <w:r w:rsidR="00C12F26">
        <w:t xml:space="preserve">, </w:t>
      </w:r>
      <w:hyperlink r:id="rId42" w:history="1">
        <w:r w:rsidR="00C12F26" w:rsidRPr="00624E39">
          <w:rPr>
            <w:rStyle w:val="Hyperlink"/>
          </w:rPr>
          <w:t>EC-76/INF. 2.5(11)</w:t>
        </w:r>
      </w:hyperlink>
      <w:r>
        <w:rPr>
          <w:lang w:val="es-ES"/>
        </w:rPr>
        <w:t xml:space="preserve"> para obtener más información.</w:t>
      </w:r>
    </w:p>
    <w:p w14:paraId="099C05AB" w14:textId="77777777" w:rsidR="00EC23F4" w:rsidRDefault="00EC23F4" w:rsidP="00EC23F4">
      <w:pPr>
        <w:pStyle w:val="WMOBodyText"/>
      </w:pPr>
    </w:p>
    <w:p w14:paraId="419216F6" w14:textId="3E107B80" w:rsidR="00EC23F4" w:rsidRDefault="00EC23F4" w:rsidP="00EC23F4">
      <w:pPr>
        <w:pStyle w:val="WMOBodyText"/>
        <w:spacing w:before="120"/>
      </w:pPr>
      <w:r>
        <w:rPr>
          <w:lang w:val="es-ES"/>
        </w:rPr>
        <w:t xml:space="preserve">Justificación de la decisión: </w:t>
      </w:r>
      <w:hyperlink r:id="rId43" w:anchor="page=76" w:history="1">
        <w:r w:rsidR="004239CB" w:rsidRPr="00E626B0">
          <w:rPr>
            <w:rStyle w:val="Hyperlink"/>
            <w:lang w:val="es-ES"/>
          </w:rPr>
          <w:t>regla 126 2)</w:t>
        </w:r>
      </w:hyperlink>
      <w:r w:rsidR="004239CB">
        <w:rPr>
          <w:lang w:val="es-ES"/>
        </w:rPr>
        <w:t xml:space="preserve"> </w:t>
      </w:r>
      <w:r w:rsidR="004239CB" w:rsidRPr="00E626B0">
        <w:rPr>
          <w:lang w:val="es-ES"/>
        </w:rPr>
        <w:t>del Reglamento General (</w:t>
      </w:r>
      <w:r w:rsidR="004239CB" w:rsidRPr="00E626B0">
        <w:rPr>
          <w:i/>
          <w:iCs/>
          <w:lang w:val="es-ES"/>
        </w:rPr>
        <w:t>Documentos</w:t>
      </w:r>
      <w:r w:rsidR="004239CB">
        <w:rPr>
          <w:i/>
          <w:iCs/>
          <w:lang w:val="es-ES"/>
        </w:rPr>
        <w:br/>
      </w:r>
      <w:r w:rsidR="004239CB" w:rsidRPr="00E626B0">
        <w:rPr>
          <w:i/>
          <w:iCs/>
          <w:lang w:val="es-ES"/>
        </w:rPr>
        <w:t xml:space="preserve">fundamentales </w:t>
      </w:r>
      <w:proofErr w:type="spellStart"/>
      <w:r w:rsidR="004239CB" w:rsidRPr="00E626B0">
        <w:rPr>
          <w:i/>
          <w:iCs/>
          <w:lang w:val="es-ES"/>
        </w:rPr>
        <w:t>Nº</w:t>
      </w:r>
      <w:proofErr w:type="spellEnd"/>
      <w:r w:rsidR="004239CB">
        <w:rPr>
          <w:i/>
          <w:iCs/>
          <w:lang w:val="es-ES"/>
        </w:rPr>
        <w:t> </w:t>
      </w:r>
      <w:r w:rsidR="004239CB" w:rsidRPr="00E626B0">
        <w:rPr>
          <w:i/>
          <w:iCs/>
          <w:lang w:val="es-ES"/>
        </w:rPr>
        <w:t>1</w:t>
      </w:r>
      <w:r w:rsidR="004239CB" w:rsidRPr="00E626B0">
        <w:rPr>
          <w:lang w:val="es-ES"/>
        </w:rPr>
        <w:t xml:space="preserve"> (OMM-</w:t>
      </w:r>
      <w:proofErr w:type="spellStart"/>
      <w:r w:rsidR="004239CB" w:rsidRPr="00E626B0">
        <w:rPr>
          <w:lang w:val="es-ES"/>
        </w:rPr>
        <w:t>Nº</w:t>
      </w:r>
      <w:proofErr w:type="spellEnd"/>
      <w:r w:rsidR="004239CB">
        <w:rPr>
          <w:lang w:val="es-ES"/>
        </w:rPr>
        <w:t> </w:t>
      </w:r>
      <w:r w:rsidR="004239CB" w:rsidRPr="00E626B0">
        <w:rPr>
          <w:lang w:val="es-ES"/>
        </w:rPr>
        <w:t>15)</w:t>
      </w:r>
      <w:r>
        <w:rPr>
          <w:lang w:val="es-ES"/>
        </w:rPr>
        <w:t>.</w:t>
      </w:r>
    </w:p>
    <w:p w14:paraId="1C87AACB" w14:textId="77777777" w:rsidR="00EC23F4" w:rsidRDefault="00EC23F4" w:rsidP="00EC23F4">
      <w:pPr>
        <w:pStyle w:val="WMOBodyText"/>
        <w:spacing w:before="120"/>
        <w:jc w:val="center"/>
      </w:pPr>
      <w:r>
        <w:t>________________</w:t>
      </w:r>
    </w:p>
    <w:p w14:paraId="0E427151" w14:textId="77777777" w:rsidR="00864DBF" w:rsidRPr="00633FDB" w:rsidRDefault="00864DBF" w:rsidP="00581CFE">
      <w:pPr>
        <w:pStyle w:val="Heading1"/>
        <w:rPr>
          <w:lang w:val="es-ES_tradnl"/>
        </w:rPr>
      </w:pPr>
    </w:p>
    <w:sectPr w:rsidR="00864DBF" w:rsidRPr="00633FDB" w:rsidSect="0020095E">
      <w:headerReference w:type="default" r:id="rId44"/>
      <w:headerReference w:type="first" r:id="rId4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9F4D" w14:textId="77777777" w:rsidR="00FA166A" w:rsidRDefault="00FA166A">
      <w:r>
        <w:separator/>
      </w:r>
    </w:p>
    <w:p w14:paraId="75C5260F" w14:textId="77777777" w:rsidR="00FA166A" w:rsidRDefault="00FA166A"/>
    <w:p w14:paraId="27520C88" w14:textId="77777777" w:rsidR="00FA166A" w:rsidRDefault="00FA166A"/>
  </w:endnote>
  <w:endnote w:type="continuationSeparator" w:id="0">
    <w:p w14:paraId="45CE5BA3" w14:textId="77777777" w:rsidR="00FA166A" w:rsidRDefault="00FA166A">
      <w:r>
        <w:continuationSeparator/>
      </w:r>
    </w:p>
    <w:p w14:paraId="189E44D3" w14:textId="77777777" w:rsidR="00FA166A" w:rsidRDefault="00FA166A"/>
    <w:p w14:paraId="0AC30682" w14:textId="77777777" w:rsidR="00FA166A" w:rsidRDefault="00FA1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53F1" w14:textId="77777777" w:rsidR="00FA166A" w:rsidRDefault="00FA166A">
      <w:r>
        <w:separator/>
      </w:r>
    </w:p>
  </w:footnote>
  <w:footnote w:type="continuationSeparator" w:id="0">
    <w:p w14:paraId="593FC9BA" w14:textId="77777777" w:rsidR="00FA166A" w:rsidRDefault="00FA166A">
      <w:r>
        <w:continuationSeparator/>
      </w:r>
    </w:p>
    <w:p w14:paraId="7F2ABFC1" w14:textId="77777777" w:rsidR="00FA166A" w:rsidRDefault="00FA166A"/>
    <w:p w14:paraId="260B517E" w14:textId="77777777" w:rsidR="00FA166A" w:rsidRDefault="00FA1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4D65E84B" w:rsidR="003C5AB0" w:rsidRDefault="003C5AB0" w:rsidP="007A7971">
    <w:pPr>
      <w:pStyle w:val="Header"/>
    </w:pPr>
    <w:r>
      <w:t>EC-7</w:t>
    </w:r>
    <w:r w:rsidR="00581CFE">
      <w:t>6</w:t>
    </w:r>
    <w:r>
      <w:t>/Doc.</w:t>
    </w:r>
    <w:r w:rsidR="00EC23F4">
      <w:t xml:space="preserve"> 2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342389">
    <w:abstractNumId w:val="29"/>
  </w:num>
  <w:num w:numId="2" w16cid:durableId="2070954634">
    <w:abstractNumId w:val="44"/>
  </w:num>
  <w:num w:numId="3" w16cid:durableId="1298143228">
    <w:abstractNumId w:val="27"/>
  </w:num>
  <w:num w:numId="4" w16cid:durableId="857616546">
    <w:abstractNumId w:val="36"/>
  </w:num>
  <w:num w:numId="5" w16cid:durableId="1342391711">
    <w:abstractNumId w:val="17"/>
  </w:num>
  <w:num w:numId="6" w16cid:durableId="937443552">
    <w:abstractNumId w:val="22"/>
  </w:num>
  <w:num w:numId="7" w16cid:durableId="1204249880">
    <w:abstractNumId w:val="18"/>
  </w:num>
  <w:num w:numId="8" w16cid:durableId="1011033979">
    <w:abstractNumId w:val="30"/>
  </w:num>
  <w:num w:numId="9" w16cid:durableId="1356887617">
    <w:abstractNumId w:val="21"/>
  </w:num>
  <w:num w:numId="10" w16cid:durableId="755057252">
    <w:abstractNumId w:val="20"/>
  </w:num>
  <w:num w:numId="11" w16cid:durableId="83379083">
    <w:abstractNumId w:val="35"/>
  </w:num>
  <w:num w:numId="12" w16cid:durableId="684789315">
    <w:abstractNumId w:val="11"/>
  </w:num>
  <w:num w:numId="13" w16cid:durableId="302467653">
    <w:abstractNumId w:val="25"/>
  </w:num>
  <w:num w:numId="14" w16cid:durableId="37248877">
    <w:abstractNumId w:val="40"/>
  </w:num>
  <w:num w:numId="15" w16cid:durableId="1635985559">
    <w:abstractNumId w:val="19"/>
  </w:num>
  <w:num w:numId="16" w16cid:durableId="1679573537">
    <w:abstractNumId w:val="9"/>
  </w:num>
  <w:num w:numId="17" w16cid:durableId="1803305863">
    <w:abstractNumId w:val="7"/>
  </w:num>
  <w:num w:numId="18" w16cid:durableId="1058241720">
    <w:abstractNumId w:val="6"/>
  </w:num>
  <w:num w:numId="19" w16cid:durableId="1332028569">
    <w:abstractNumId w:val="5"/>
  </w:num>
  <w:num w:numId="20" w16cid:durableId="1367873463">
    <w:abstractNumId w:val="4"/>
  </w:num>
  <w:num w:numId="21" w16cid:durableId="771436571">
    <w:abstractNumId w:val="8"/>
  </w:num>
  <w:num w:numId="22" w16cid:durableId="2084715841">
    <w:abstractNumId w:val="3"/>
  </w:num>
  <w:num w:numId="23" w16cid:durableId="1630471419">
    <w:abstractNumId w:val="2"/>
  </w:num>
  <w:num w:numId="24" w16cid:durableId="1364596247">
    <w:abstractNumId w:val="1"/>
  </w:num>
  <w:num w:numId="25" w16cid:durableId="1351443733">
    <w:abstractNumId w:val="0"/>
  </w:num>
  <w:num w:numId="26" w16cid:durableId="590821783">
    <w:abstractNumId w:val="42"/>
  </w:num>
  <w:num w:numId="27" w16cid:durableId="1732458263">
    <w:abstractNumId w:val="31"/>
  </w:num>
  <w:num w:numId="28" w16cid:durableId="973607366">
    <w:abstractNumId w:val="23"/>
  </w:num>
  <w:num w:numId="29" w16cid:durableId="648829639">
    <w:abstractNumId w:val="32"/>
  </w:num>
  <w:num w:numId="30" w16cid:durableId="1522746196">
    <w:abstractNumId w:val="33"/>
  </w:num>
  <w:num w:numId="31" w16cid:durableId="1313366594">
    <w:abstractNumId w:val="14"/>
  </w:num>
  <w:num w:numId="32" w16cid:durableId="1754164639">
    <w:abstractNumId w:val="39"/>
  </w:num>
  <w:num w:numId="33" w16cid:durableId="714962608">
    <w:abstractNumId w:val="37"/>
  </w:num>
  <w:num w:numId="34" w16cid:durableId="946471572">
    <w:abstractNumId w:val="24"/>
  </w:num>
  <w:num w:numId="35" w16cid:durableId="98532118">
    <w:abstractNumId w:val="26"/>
  </w:num>
  <w:num w:numId="36" w16cid:durableId="2142727742">
    <w:abstractNumId w:val="43"/>
  </w:num>
  <w:num w:numId="37" w16cid:durableId="1042169912">
    <w:abstractNumId w:val="34"/>
  </w:num>
  <w:num w:numId="38" w16cid:durableId="637879833">
    <w:abstractNumId w:val="12"/>
  </w:num>
  <w:num w:numId="39" w16cid:durableId="1623224506">
    <w:abstractNumId w:val="13"/>
  </w:num>
  <w:num w:numId="40" w16cid:durableId="2021662676">
    <w:abstractNumId w:val="15"/>
  </w:num>
  <w:num w:numId="41" w16cid:durableId="667295511">
    <w:abstractNumId w:val="10"/>
  </w:num>
  <w:num w:numId="42" w16cid:durableId="1588270483">
    <w:abstractNumId w:val="41"/>
  </w:num>
  <w:num w:numId="43" w16cid:durableId="1173716297">
    <w:abstractNumId w:val="16"/>
  </w:num>
  <w:num w:numId="44" w16cid:durableId="1704788888">
    <w:abstractNumId w:val="28"/>
  </w:num>
  <w:num w:numId="45" w16cid:durableId="799549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366A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98F"/>
    <w:rsid w:val="001B0EA6"/>
    <w:rsid w:val="001B198E"/>
    <w:rsid w:val="001B1CDF"/>
    <w:rsid w:val="001B372C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1F73F7"/>
    <w:rsid w:val="0020095E"/>
    <w:rsid w:val="00204C5F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B6C63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0D67"/>
    <w:rsid w:val="00314D5D"/>
    <w:rsid w:val="00320009"/>
    <w:rsid w:val="0032424A"/>
    <w:rsid w:val="003245D3"/>
    <w:rsid w:val="00330AA3"/>
    <w:rsid w:val="00334987"/>
    <w:rsid w:val="00337042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239CB"/>
    <w:rsid w:val="0043039B"/>
    <w:rsid w:val="00431D8D"/>
    <w:rsid w:val="004423FE"/>
    <w:rsid w:val="00445C35"/>
    <w:rsid w:val="00447D93"/>
    <w:rsid w:val="0045663A"/>
    <w:rsid w:val="0046344E"/>
    <w:rsid w:val="004667E7"/>
    <w:rsid w:val="00475797"/>
    <w:rsid w:val="004843A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3E6C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51CB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2B87"/>
    <w:rsid w:val="0068392D"/>
    <w:rsid w:val="00697DB5"/>
    <w:rsid w:val="006A1B33"/>
    <w:rsid w:val="006A481F"/>
    <w:rsid w:val="006A492A"/>
    <w:rsid w:val="006B5C72"/>
    <w:rsid w:val="006D0310"/>
    <w:rsid w:val="006D2009"/>
    <w:rsid w:val="006D5576"/>
    <w:rsid w:val="006E766D"/>
    <w:rsid w:val="006F0546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D15D8"/>
    <w:rsid w:val="007E7D21"/>
    <w:rsid w:val="007F482F"/>
    <w:rsid w:val="007F7C94"/>
    <w:rsid w:val="0080398D"/>
    <w:rsid w:val="00806385"/>
    <w:rsid w:val="00807CC5"/>
    <w:rsid w:val="00810125"/>
    <w:rsid w:val="00814CC6"/>
    <w:rsid w:val="00826327"/>
    <w:rsid w:val="00831751"/>
    <w:rsid w:val="00833369"/>
    <w:rsid w:val="00835B42"/>
    <w:rsid w:val="00842A4E"/>
    <w:rsid w:val="008451AA"/>
    <w:rsid w:val="00847D99"/>
    <w:rsid w:val="0085038E"/>
    <w:rsid w:val="008536F5"/>
    <w:rsid w:val="0085612E"/>
    <w:rsid w:val="0086271D"/>
    <w:rsid w:val="0086420B"/>
    <w:rsid w:val="00864DBF"/>
    <w:rsid w:val="00865AE2"/>
    <w:rsid w:val="00871DD1"/>
    <w:rsid w:val="008725B0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36FF2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170C"/>
    <w:rsid w:val="009A288C"/>
    <w:rsid w:val="009A2EC3"/>
    <w:rsid w:val="009A64C1"/>
    <w:rsid w:val="009B6697"/>
    <w:rsid w:val="009C2EA4"/>
    <w:rsid w:val="009C4C04"/>
    <w:rsid w:val="009E2BBD"/>
    <w:rsid w:val="009F7566"/>
    <w:rsid w:val="00A03C8C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48"/>
    <w:rsid w:val="00A60FE6"/>
    <w:rsid w:val="00A622F5"/>
    <w:rsid w:val="00A654BE"/>
    <w:rsid w:val="00A66DD6"/>
    <w:rsid w:val="00A76C8E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E5971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0FE4"/>
    <w:rsid w:val="00B72444"/>
    <w:rsid w:val="00B85208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BF3049"/>
    <w:rsid w:val="00C04BD2"/>
    <w:rsid w:val="00C12F26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4217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0202"/>
    <w:rsid w:val="00D44BAD"/>
    <w:rsid w:val="00D45B55"/>
    <w:rsid w:val="00D7097B"/>
    <w:rsid w:val="00D72FF4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4558"/>
    <w:rsid w:val="00DE7137"/>
    <w:rsid w:val="00E00498"/>
    <w:rsid w:val="00E01949"/>
    <w:rsid w:val="00E14ADB"/>
    <w:rsid w:val="00E2617A"/>
    <w:rsid w:val="00E31CD4"/>
    <w:rsid w:val="00E47778"/>
    <w:rsid w:val="00E538E6"/>
    <w:rsid w:val="00E626B0"/>
    <w:rsid w:val="00E802A2"/>
    <w:rsid w:val="00E85C0B"/>
    <w:rsid w:val="00E97A18"/>
    <w:rsid w:val="00EA5259"/>
    <w:rsid w:val="00EB13D7"/>
    <w:rsid w:val="00EB1E83"/>
    <w:rsid w:val="00EC23F4"/>
    <w:rsid w:val="00EC7CF5"/>
    <w:rsid w:val="00ED22CB"/>
    <w:rsid w:val="00ED67AF"/>
    <w:rsid w:val="00ED709D"/>
    <w:rsid w:val="00EE0C87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77524"/>
    <w:rsid w:val="00F84DD2"/>
    <w:rsid w:val="00FA166A"/>
    <w:rsid w:val="00FA4ECF"/>
    <w:rsid w:val="00FB0872"/>
    <w:rsid w:val="00FB406F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ings.wmo.int/EC-76/_layouts/15/WopiFrame.aspx?sourcedoc=/EC-76/InformationDocuments/EC-76-INF02-4(1)-REPORT-BY-THE-PRESIDENT-OF-SERCOM_es-MT.docx&amp;action=default" TargetMode="External"/><Relationship Id="rId18" Type="http://schemas.openxmlformats.org/officeDocument/2006/relationships/hyperlink" Target="https://meetings.wmo.int/SERCOM-2/_layouts/15/WopiFrame.aspx?sourcedoc=/SERCOM-2/Spanish/2.%20VERSI%C3%93N%20PROVISIONAL%20DEL%20INFORME%20(Documentos%20aprobados)/SERCOM-2-d05-10(2)-INFECTIOUS-DISEASE-RESEARCH-approved_es.docx&amp;action=default" TargetMode="External"/><Relationship Id="rId26" Type="http://schemas.openxmlformats.org/officeDocument/2006/relationships/hyperlink" Target="https://library.wmo.int/doc_num.php?explnum_id=11485/" TargetMode="External"/><Relationship Id="rId39" Type="http://schemas.openxmlformats.org/officeDocument/2006/relationships/hyperlink" Target="https://meetings.wmo.int/EC-76/InformationDocuments/Forms/AllItems.aspx" TargetMode="External"/><Relationship Id="rId21" Type="http://schemas.openxmlformats.org/officeDocument/2006/relationships/hyperlink" Target="https://meetings.wmo.int/INFCOM-2/_layouts/15/WopiFrame.aspx?sourcedoc=/INFCOM-2/Spanish/2.%20VERSI%C3%93N%20PROVISIONAL%20DEL%20INFORME%20(Documentos%20aprobados)/INFCOM-2-d06-2(6)-GUIDELINES-ON-DISCHARGE-MEASUREMENT-approved_es.docx&amp;action=default" TargetMode="External"/><Relationship Id="rId34" Type="http://schemas.openxmlformats.org/officeDocument/2006/relationships/hyperlink" Target="https://meetings.wmo.int/EC-76/InformationDocuments/Forms/AllItems.aspx" TargetMode="External"/><Relationship Id="rId42" Type="http://schemas.openxmlformats.org/officeDocument/2006/relationships/hyperlink" Target="https://meetings.wmo.int/EC-76/InformationDocuments/Forms/AllItems.aspx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meetings.wmo.int/SERCOM-2/_layouts/15/WopiFrame.aspx?sourcedoc=/SERCOM-2/Spanish/2.%20VERSI%C3%93N%20PROVISIONAL%20DEL%20INFORME%20(Documentos%20aprobados)/SERCOM-2-d05-11-INTEGRATED-URBAN-SERVICES-approved_es.docx&amp;action=default" TargetMode="External"/><Relationship Id="rId29" Type="http://schemas.openxmlformats.org/officeDocument/2006/relationships/hyperlink" Target="https://meetings.wmo.int/EC-76/InformationDocuments/Forms/AllItem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11140/" TargetMode="External"/><Relationship Id="rId32" Type="http://schemas.openxmlformats.org/officeDocument/2006/relationships/hyperlink" Target="https://meetings.wmo.int/EC-76/InformationDocuments/Forms/AllItems.aspx" TargetMode="External"/><Relationship Id="rId37" Type="http://schemas.openxmlformats.org/officeDocument/2006/relationships/hyperlink" Target="https://meetings.wmo.int/EC-76/InformationDocuments/Forms/AllItems.aspx" TargetMode="External"/><Relationship Id="rId40" Type="http://schemas.openxmlformats.org/officeDocument/2006/relationships/hyperlink" Target="https://meetings.wmo.int/EC-76/InformationDocuments/Forms/AllItems.aspx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meetings.wmo.int/SERCOM-2/_layouts/15/WopiFrame.aspx?sourcedoc=/SERCOM-2/Spanish/2.%20VERSI%C3%93N%20PROVISIONAL%20DEL%20INFORME%20(Documentos%20aprobados)/SERCOM-2-d05-11-INTEGRATED-URBAN-SERVICES-approved_es.docx&amp;action=default" TargetMode="External"/><Relationship Id="rId23" Type="http://schemas.openxmlformats.org/officeDocument/2006/relationships/hyperlink" Target="https://meetings.wmo.int/SERCOM-2/_layouts/15/WopiFrame.aspx?sourcedoc=/SERCOM-2/Spanish/2.%20VERSI%C3%93N%20PROVISIONAL%20DEL%20INFORME%20(Documentos%20aprobados)/SERCOM-2-d09-2-ADVICE-HYDROLOGICAL-COORDINATION-PANEL-approved_es.docx&amp;action=default" TargetMode="External"/><Relationship Id="rId28" Type="http://schemas.openxmlformats.org/officeDocument/2006/relationships/hyperlink" Target="https://meetings.wmo.int/EC-76/InformationDocuments/Forms/AllItems.aspx" TargetMode="External"/><Relationship Id="rId36" Type="http://schemas.openxmlformats.org/officeDocument/2006/relationships/hyperlink" Target="https://meetings.wmo.int/EC-76/InformationDocuments/Forms/AllItem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etings.wmo.int/EC-76/_layouts/15/WopiFrame.aspx?sourcedoc=/EC-76/InformationDocuments/EC-76-INF02-4(2)-REPORT-PRESIDENT-INFCOM_en.docx&amp;action=default" TargetMode="External"/><Relationship Id="rId31" Type="http://schemas.openxmlformats.org/officeDocument/2006/relationships/hyperlink" Target="https://meetings.wmo.int/EC-76/InformationDocuments/Forms/AllItems.aspx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SERCOM-2/_layouts/15/WopiFrame.aspx?sourcedoc=/SERCOM-2/Spanish/2.%20VERSI%C3%93N%20PROVISIONAL%20DEL%20INFORME%20(Documentos%20aprobados)/SERCOM-2-d05-9-INTEGRATED-ENERGY-SERVICES-approved_es.docx&amp;action=default" TargetMode="External"/><Relationship Id="rId22" Type="http://schemas.openxmlformats.org/officeDocument/2006/relationships/hyperlink" Target="https://meetings.wmo.int/EC-76/InformationDocuments/Forms/AllItems.aspx" TargetMode="External"/><Relationship Id="rId27" Type="http://schemas.openxmlformats.org/officeDocument/2006/relationships/hyperlink" Target="https://meetings.wmo.int/EC-76/InformationDocuments/Forms/AllItems.aspx" TargetMode="External"/><Relationship Id="rId30" Type="http://schemas.openxmlformats.org/officeDocument/2006/relationships/hyperlink" Target="https://meetings.wmo.int/EC-76/InformationDocuments/Forms/AllItems.aspx" TargetMode="External"/><Relationship Id="rId35" Type="http://schemas.openxmlformats.org/officeDocument/2006/relationships/hyperlink" Target="https://meetings.wmo.int/EC-76/InformationDocuments/Forms/AllItems.aspx" TargetMode="External"/><Relationship Id="rId43" Type="http://schemas.openxmlformats.org/officeDocument/2006/relationships/hyperlink" Target="https://library.wmo.int/doc_num.php?explnum_id=11189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ibrary.wmo.int/doc_num.php?explnum_id=11189" TargetMode="External"/><Relationship Id="rId17" Type="http://schemas.openxmlformats.org/officeDocument/2006/relationships/hyperlink" Target="https://meetings.wmo.int/SERCOM-2/_layouts/15/WopiFrame.aspx?sourcedoc=/SERCOM-2/Spanish/2.%20VERSI%C3%93N%20PROVISIONAL%20DEL%20INFORME%20(Documentos%20aprobados)/SERCOM-2-d05-10(1)-WMO-ACTIVITIES-EXTREME-HEAT-AND-HEALTH-approved_es.docx&amp;action=default" TargetMode="External"/><Relationship Id="rId25" Type="http://schemas.openxmlformats.org/officeDocument/2006/relationships/hyperlink" Target="https://library.wmo.int/doc_num.php?explnum_id=11140/" TargetMode="External"/><Relationship Id="rId33" Type="http://schemas.openxmlformats.org/officeDocument/2006/relationships/hyperlink" Target="https://meetings.wmo.int/EC-76/InformationDocuments/Forms/AllItems.aspx" TargetMode="External"/><Relationship Id="rId38" Type="http://schemas.openxmlformats.org/officeDocument/2006/relationships/hyperlink" Target="https://meetings.wmo.int/EC-76/InformationDocuments/Forms/AllItems.asp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eetings.wmo.int/INFCOM-2/_layouts/15/WopiFrame.aspx?sourcedoc=/INFCOM-2/InformationDocuments/INFCOM-2-INF06-4(2-2)-DRAFT-GUIDELINES-ON-HIGH-RESOLUTION-NWP_es-MT.docx&amp;action=default" TargetMode="External"/><Relationship Id="rId41" Type="http://schemas.openxmlformats.org/officeDocument/2006/relationships/hyperlink" Target="https://meetings.wmo.int/EC-76/InformationDocuments/Forms/AllItem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50C6-16AD-4D79-BFBB-DA05C082B90A}"/>
</file>

<file path=customXml/itemProps2.xml><?xml version="1.0" encoding="utf-8"?>
<ds:datastoreItem xmlns:ds="http://schemas.openxmlformats.org/officeDocument/2006/customXml" ds:itemID="{4CE4C997-AFE9-4FD5-8B67-4DD00902483D}">
  <ds:schemaRefs>
    <ds:schemaRef ds:uri="3679bf0f-1d7e-438f-afa5-6ebf1e20f9b8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e21bc6c-711a-4065-a01c-a8f0e29e3ad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9668A-4A6F-4DC9-8818-A3C57A64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201</TotalTime>
  <Pages>4</Pages>
  <Words>1832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11890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13</cp:revision>
  <cp:lastPrinted>2013-03-12T09:27:00Z</cp:lastPrinted>
  <dcterms:created xsi:type="dcterms:W3CDTF">2023-02-10T14:12:00Z</dcterms:created>
  <dcterms:modified xsi:type="dcterms:W3CDTF">2023-02-13T12:33:00Z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